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E" w:rsidRDefault="004C6F1E" w:rsidP="000D05EF">
      <w:pPr>
        <w:spacing w:line="276" w:lineRule="auto"/>
      </w:pPr>
      <w:bookmarkStart w:id="0" w:name="_GoBack"/>
      <w:bookmarkEnd w:id="0"/>
      <w:r>
        <w:rPr>
          <w:rFonts w:cstheme="minorHAnsi"/>
          <w:b/>
          <w:sz w:val="28"/>
          <w:szCs w:val="28"/>
        </w:rPr>
        <w:t>Wild and Scenic Rivers</w:t>
      </w:r>
      <w:r w:rsidR="001E71D0">
        <w:rPr>
          <w:rFonts w:cstheme="minorHAnsi"/>
          <w:b/>
          <w:sz w:val="28"/>
          <w:szCs w:val="28"/>
        </w:rPr>
        <w:t xml:space="preserve"> (CEST and EA)</w:t>
      </w:r>
    </w:p>
    <w:tbl>
      <w:tblPr>
        <w:tblStyle w:val="MediumGrid1-Accent1"/>
        <w:tblW w:w="4897" w:type="pct"/>
        <w:tblLayout w:type="fixed"/>
        <w:tblLook w:val="0000" w:firstRow="0" w:lastRow="0" w:firstColumn="0" w:lastColumn="0" w:noHBand="0" w:noVBand="0"/>
      </w:tblPr>
      <w:tblGrid>
        <w:gridCol w:w="3590"/>
        <w:gridCol w:w="3178"/>
        <w:gridCol w:w="2611"/>
      </w:tblGrid>
      <w:tr w:rsidR="002914CB" w:rsidRPr="004C6F1E"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4" w:type="pct"/>
          </w:tcPr>
          <w:p w:rsidR="002914CB" w:rsidRPr="004C6F1E" w:rsidRDefault="002914CB" w:rsidP="00FE171B">
            <w:pPr>
              <w:spacing w:line="276" w:lineRule="auto"/>
              <w:jc w:val="center"/>
              <w:rPr>
                <w:rFonts w:asciiTheme="minorHAnsi" w:hAnsiTheme="minorHAnsi" w:cstheme="minorHAnsi"/>
                <w:b/>
                <w:bCs/>
                <w:sz w:val="24"/>
              </w:rPr>
            </w:pPr>
            <w:r w:rsidRPr="004C6F1E">
              <w:rPr>
                <w:rFonts w:asciiTheme="minorHAnsi" w:hAnsiTheme="minorHAnsi" w:cstheme="minorHAnsi"/>
                <w:b/>
                <w:bCs/>
                <w:sz w:val="24"/>
              </w:rPr>
              <w:t>General requirements</w:t>
            </w:r>
          </w:p>
        </w:tc>
        <w:tc>
          <w:tcPr>
            <w:tcW w:w="1694" w:type="pct"/>
          </w:tcPr>
          <w:p w:rsidR="002914CB" w:rsidRPr="004C6F1E" w:rsidRDefault="002914CB" w:rsidP="00FE171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4C6F1E">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392" w:type="pct"/>
          </w:tcPr>
          <w:p w:rsidR="002914CB" w:rsidRPr="004C6F1E" w:rsidRDefault="002914CB" w:rsidP="00FE171B">
            <w:pPr>
              <w:spacing w:line="276" w:lineRule="auto"/>
              <w:jc w:val="center"/>
              <w:rPr>
                <w:rFonts w:asciiTheme="minorHAnsi" w:hAnsiTheme="minorHAnsi" w:cstheme="minorHAnsi"/>
                <w:b/>
                <w:bCs/>
                <w:sz w:val="24"/>
              </w:rPr>
            </w:pPr>
            <w:r w:rsidRPr="004C6F1E">
              <w:rPr>
                <w:rFonts w:asciiTheme="minorHAnsi" w:hAnsiTheme="minorHAnsi" w:cstheme="minorHAnsi"/>
                <w:b/>
                <w:bCs/>
                <w:sz w:val="24"/>
              </w:rPr>
              <w:t>Regulation</w:t>
            </w:r>
          </w:p>
        </w:tc>
      </w:tr>
      <w:tr w:rsidR="002914CB" w:rsidRPr="004C6F1E" w:rsidTr="00FE171B">
        <w:tc>
          <w:tcPr>
            <w:cnfStyle w:val="000010000000" w:firstRow="0" w:lastRow="0" w:firstColumn="0" w:lastColumn="0" w:oddVBand="1" w:evenVBand="0" w:oddHBand="0" w:evenHBand="0" w:firstRowFirstColumn="0" w:firstRowLastColumn="0" w:lastRowFirstColumn="0" w:lastRowLastColumn="0"/>
            <w:tcW w:w="1914" w:type="pct"/>
            <w:shd w:val="clear" w:color="auto" w:fill="DBE5F1" w:themeFill="accent1" w:themeFillTint="33"/>
          </w:tcPr>
          <w:p w:rsidR="002914CB" w:rsidRPr="004C6F1E" w:rsidRDefault="002914CB" w:rsidP="00FE171B">
            <w:pPr>
              <w:spacing w:line="276" w:lineRule="auto"/>
              <w:rPr>
                <w:rFonts w:asciiTheme="minorHAnsi" w:hAnsiTheme="minorHAnsi" w:cstheme="minorHAnsi"/>
                <w:sz w:val="24"/>
              </w:rPr>
            </w:pPr>
            <w:r w:rsidRPr="004C6F1E">
              <w:rPr>
                <w:rFonts w:asciiTheme="minorHAnsi" w:hAnsiTheme="minorHAnsi" w:cstheme="minorHAnsi"/>
                <w:sz w:val="24"/>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rsidR="002914CB" w:rsidRPr="004C6F1E" w:rsidRDefault="002914CB" w:rsidP="00FE171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C6F1E">
              <w:rPr>
                <w:rFonts w:asciiTheme="minorHAnsi" w:hAnsiTheme="minorHAnsi" w:cstheme="minorHAnsi"/>
                <w:sz w:val="24"/>
              </w:rPr>
              <w:t>The Wild and Scenic Rivers Act (16 U.S.C. 1271-1287), particularly section 7(b) and (c) (16 U.S.C. 1278(b) and (c))</w:t>
            </w:r>
          </w:p>
        </w:tc>
        <w:tc>
          <w:tcPr>
            <w:cnfStyle w:val="000010000000" w:firstRow="0" w:lastRow="0" w:firstColumn="0" w:lastColumn="0" w:oddVBand="1" w:evenVBand="0" w:oddHBand="0" w:evenHBand="0" w:firstRowFirstColumn="0" w:firstRowLastColumn="0" w:lastRowFirstColumn="0" w:lastRowLastColumn="0"/>
            <w:tcW w:w="1392" w:type="pct"/>
            <w:shd w:val="clear" w:color="auto" w:fill="DBE5F1" w:themeFill="accent1" w:themeFillTint="33"/>
          </w:tcPr>
          <w:p w:rsidR="002914CB" w:rsidRPr="004C6F1E" w:rsidRDefault="002914CB" w:rsidP="00FE171B">
            <w:pPr>
              <w:spacing w:line="276" w:lineRule="auto"/>
              <w:rPr>
                <w:rFonts w:asciiTheme="minorHAnsi" w:hAnsiTheme="minorHAnsi" w:cstheme="minorHAnsi"/>
                <w:sz w:val="24"/>
              </w:rPr>
            </w:pPr>
            <w:r w:rsidRPr="004C6F1E">
              <w:rPr>
                <w:rFonts w:asciiTheme="minorHAnsi" w:hAnsiTheme="minorHAnsi" w:cstheme="minorHAnsi"/>
                <w:sz w:val="24"/>
              </w:rPr>
              <w:t xml:space="preserve">36 CFR Part 297 </w:t>
            </w:r>
          </w:p>
        </w:tc>
      </w:tr>
    </w:tbl>
    <w:tbl>
      <w:tblPr>
        <w:tblStyle w:val="MediumGrid1-Accent11"/>
        <w:tblW w:w="4897" w:type="pct"/>
        <w:tblLayout w:type="fixed"/>
        <w:tblLook w:val="0000" w:firstRow="0" w:lastRow="0" w:firstColumn="0" w:lastColumn="0" w:noHBand="0" w:noVBand="0"/>
      </w:tblPr>
      <w:tblGrid>
        <w:gridCol w:w="9379"/>
      </w:tblGrid>
      <w:tr w:rsidR="002914CB" w:rsidRPr="004C6F1E"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Pr>
          <w:p w:rsidR="002914CB" w:rsidRPr="004C6F1E" w:rsidRDefault="002914CB" w:rsidP="00FE171B">
            <w:pPr>
              <w:spacing w:line="276" w:lineRule="auto"/>
              <w:jc w:val="center"/>
              <w:rPr>
                <w:rFonts w:asciiTheme="minorHAnsi" w:hAnsiTheme="minorHAnsi" w:cstheme="minorHAnsi"/>
                <w:b/>
                <w:sz w:val="24"/>
              </w:rPr>
            </w:pPr>
            <w:r w:rsidRPr="004C6F1E">
              <w:rPr>
                <w:rFonts w:asciiTheme="minorHAnsi" w:hAnsiTheme="minorHAnsi" w:cstheme="minorHAnsi"/>
                <w:b/>
                <w:sz w:val="24"/>
              </w:rPr>
              <w:t>References</w:t>
            </w:r>
          </w:p>
        </w:tc>
      </w:tr>
      <w:tr w:rsidR="002914CB" w:rsidRPr="004C6F1E" w:rsidTr="00FE171B">
        <w:tc>
          <w:tcPr>
            <w:cnfStyle w:val="000010000000" w:firstRow="0" w:lastRow="0" w:firstColumn="0" w:lastColumn="0" w:oddVBand="1" w:evenVBand="0" w:oddHBand="0" w:evenHBand="0" w:firstRowFirstColumn="0" w:firstRowLastColumn="0" w:lastRowFirstColumn="0" w:lastRowLastColumn="0"/>
            <w:tcW w:w="5000" w:type="pct"/>
            <w:shd w:val="clear" w:color="auto" w:fill="DBE5F1" w:themeFill="accent1" w:themeFillTint="33"/>
          </w:tcPr>
          <w:p w:rsidR="002914CB" w:rsidRPr="004C6F1E" w:rsidRDefault="00837F44" w:rsidP="002914CB">
            <w:pPr>
              <w:rPr>
                <w:rFonts w:asciiTheme="minorHAnsi" w:hAnsiTheme="minorHAnsi" w:cstheme="minorHAnsi"/>
                <w:sz w:val="24"/>
              </w:rPr>
            </w:pPr>
            <w:r w:rsidRPr="00837F44">
              <w:rPr>
                <w:rFonts w:asciiTheme="minorHAnsi" w:hAnsiTheme="minorHAnsi" w:cstheme="minorHAnsi"/>
                <w:color w:val="0000FF"/>
                <w:sz w:val="24"/>
                <w:u w:val="single"/>
              </w:rPr>
              <w:t>https://www.hudexchange.info/environmental-review/wild-and-scenic-rivers</w:t>
            </w:r>
          </w:p>
        </w:tc>
      </w:tr>
    </w:tbl>
    <w:p w:rsidR="002914CB" w:rsidRPr="004C6F1E" w:rsidRDefault="002914CB" w:rsidP="002914CB">
      <w:pPr>
        <w:pStyle w:val="ListParagraph"/>
        <w:rPr>
          <w:rFonts w:cstheme="minorHAnsi"/>
          <w:b/>
          <w:sz w:val="24"/>
        </w:rPr>
      </w:pPr>
    </w:p>
    <w:p w:rsidR="002914CB" w:rsidRPr="004C6F1E" w:rsidRDefault="002914CB" w:rsidP="00C6091B">
      <w:pPr>
        <w:pStyle w:val="ListParagraph"/>
        <w:numPr>
          <w:ilvl w:val="0"/>
          <w:numId w:val="4"/>
        </w:numPr>
        <w:ind w:left="540" w:hanging="540"/>
        <w:rPr>
          <w:rFonts w:cstheme="minorHAnsi"/>
          <w:b/>
          <w:sz w:val="24"/>
        </w:rPr>
      </w:pPr>
      <w:r w:rsidRPr="004C6F1E">
        <w:rPr>
          <w:rFonts w:cstheme="minorHAnsi"/>
          <w:b/>
          <w:sz w:val="24"/>
        </w:rPr>
        <w:t xml:space="preserve">Is your project within proximity of a NWSRS river as defined below?  </w:t>
      </w:r>
    </w:p>
    <w:p w:rsidR="002914CB" w:rsidRPr="004C6F1E" w:rsidRDefault="002914CB" w:rsidP="00C6091B">
      <w:pPr>
        <w:spacing w:line="276" w:lineRule="auto"/>
        <w:ind w:left="540"/>
        <w:jc w:val="both"/>
        <w:rPr>
          <w:rFonts w:cstheme="minorHAnsi"/>
          <w:sz w:val="24"/>
        </w:rPr>
      </w:pPr>
      <w:r w:rsidRPr="004C6F1E">
        <w:rPr>
          <w:rFonts w:cstheme="minorHAnsi"/>
          <w:b/>
          <w:sz w:val="24"/>
        </w:rPr>
        <w:t>Wild &amp; Scenic Rivers:</w:t>
      </w:r>
      <w:r w:rsidRPr="004C6F1E">
        <w:rPr>
          <w:rFonts w:cstheme="minorHAnsi"/>
          <w:sz w:val="24"/>
        </w:rPr>
        <w:t xml:space="preserve"> These rivers or river segments have been designated by Congress or by states (with the concurrence of the Secretary of the Interior) as wild, scenic, or recreational</w:t>
      </w:r>
    </w:p>
    <w:p w:rsidR="002914CB" w:rsidRPr="004C6F1E" w:rsidRDefault="002914CB" w:rsidP="00C6091B">
      <w:pPr>
        <w:spacing w:line="276" w:lineRule="auto"/>
        <w:ind w:left="540"/>
        <w:jc w:val="both"/>
        <w:rPr>
          <w:rFonts w:cstheme="minorHAnsi"/>
          <w:sz w:val="24"/>
        </w:rPr>
      </w:pPr>
      <w:r w:rsidRPr="00C6091B">
        <w:rPr>
          <w:rFonts w:cstheme="minorHAnsi"/>
          <w:sz w:val="24"/>
          <w:u w:val="single"/>
        </w:rPr>
        <w:t>Study Rivers:</w:t>
      </w:r>
      <w:r w:rsidRPr="004C6F1E">
        <w:rPr>
          <w:rFonts w:cstheme="minorHAnsi"/>
          <w:sz w:val="24"/>
        </w:rPr>
        <w:t xml:space="preserve"> These rivers or river segments are being studied as a potential component of the Wild &amp; Scenic River system.</w:t>
      </w:r>
    </w:p>
    <w:p w:rsidR="002914CB" w:rsidRPr="004C6F1E" w:rsidRDefault="002914CB" w:rsidP="00C6091B">
      <w:pPr>
        <w:spacing w:line="276" w:lineRule="auto"/>
        <w:ind w:left="540"/>
        <w:jc w:val="both"/>
        <w:rPr>
          <w:rFonts w:cstheme="minorHAnsi"/>
          <w:sz w:val="24"/>
        </w:rPr>
      </w:pPr>
      <w:r w:rsidRPr="00C6091B">
        <w:rPr>
          <w:rFonts w:cstheme="minorHAnsi"/>
          <w:sz w:val="24"/>
          <w:u w:val="single"/>
        </w:rPr>
        <w:t>Nationwide Rivers Inventory (NRI):</w:t>
      </w:r>
      <w:r w:rsidRPr="004C6F1E">
        <w:rPr>
          <w:rFonts w:cstheme="minorHAnsi"/>
          <w:b/>
          <w:sz w:val="24"/>
          <w:vertAlign w:val="superscript"/>
        </w:rPr>
        <w:t xml:space="preserve"> </w:t>
      </w:r>
      <w:r w:rsidRPr="004C6F1E">
        <w:rPr>
          <w:rFonts w:cstheme="minorHAnsi"/>
          <w:sz w:val="24"/>
        </w:rPr>
        <w:t>The National Park Service has compiled and maintains the NRI, a register of river segments that potentially qualify as national wild, scenic, or recreational river areas</w:t>
      </w:r>
    </w:p>
    <w:p w:rsidR="002914CB" w:rsidRPr="004C6F1E" w:rsidRDefault="002914CB" w:rsidP="002914CB">
      <w:pPr>
        <w:spacing w:line="276" w:lineRule="auto"/>
        <w:ind w:left="720"/>
        <w:rPr>
          <w:rFonts w:cstheme="minorHAnsi"/>
          <w:sz w:val="24"/>
        </w:rPr>
      </w:pPr>
    </w:p>
    <w:p w:rsidR="00837F44" w:rsidRDefault="00062E71" w:rsidP="001A78E5">
      <w:pPr>
        <w:tabs>
          <w:tab w:val="left" w:pos="720"/>
          <w:tab w:val="left" w:pos="9072"/>
        </w:tabs>
        <w:suppressAutoHyphens/>
        <w:spacing w:line="276" w:lineRule="auto"/>
        <w:ind w:left="180" w:firstLine="360"/>
        <w:jc w:val="both"/>
        <w:rPr>
          <w:rFonts w:cstheme="minorHAnsi"/>
          <w:sz w:val="24"/>
        </w:rPr>
      </w:pPr>
      <w:sdt>
        <w:sdtPr>
          <w:rPr>
            <w:rFonts w:cstheme="minorHAnsi"/>
            <w:sz w:val="24"/>
          </w:rPr>
          <w:id w:val="-1031421721"/>
          <w14:checkbox>
            <w14:checked w14:val="0"/>
            <w14:checkedState w14:val="2612" w14:font="MS Gothic"/>
            <w14:uncheckedState w14:val="2610" w14:font="MS Gothic"/>
          </w14:checkbox>
        </w:sdtPr>
        <w:sdtEndPr/>
        <w:sdtContent>
          <w:r w:rsidR="001A78E5">
            <w:rPr>
              <w:rFonts w:ascii="MS Gothic" w:eastAsia="MS Gothic" w:hAnsi="MS Gothic" w:cstheme="minorHAnsi" w:hint="eastAsia"/>
              <w:sz w:val="24"/>
            </w:rPr>
            <w:t>☐</w:t>
          </w:r>
        </w:sdtContent>
      </w:sdt>
      <w:r w:rsidR="00C6091B">
        <w:rPr>
          <w:rFonts w:cstheme="minorHAnsi"/>
          <w:sz w:val="24"/>
        </w:rPr>
        <w:t xml:space="preserve">  </w:t>
      </w:r>
      <w:r w:rsidR="002914CB" w:rsidRPr="004C6F1E">
        <w:rPr>
          <w:rFonts w:cstheme="minorHAnsi"/>
          <w:sz w:val="24"/>
        </w:rPr>
        <w:t xml:space="preserve">No </w:t>
      </w:r>
    </w:p>
    <w:p w:rsidR="002914CB" w:rsidRPr="00E0363A" w:rsidRDefault="002914CB" w:rsidP="00E0363A">
      <w:pPr>
        <w:tabs>
          <w:tab w:val="left" w:pos="720"/>
          <w:tab w:val="left" w:pos="990"/>
          <w:tab w:val="left" w:pos="1260"/>
          <w:tab w:val="left" w:pos="1530"/>
          <w:tab w:val="left" w:pos="9072"/>
        </w:tabs>
        <w:suppressAutoHyphens/>
        <w:spacing w:line="276" w:lineRule="auto"/>
        <w:ind w:left="810" w:hanging="270"/>
        <w:jc w:val="both"/>
        <w:rPr>
          <w:rFonts w:cstheme="minorHAnsi"/>
          <w:szCs w:val="22"/>
        </w:rPr>
      </w:pPr>
      <w:r w:rsidRPr="00E0363A">
        <w:rPr>
          <w:rFonts w:cstheme="minorHAnsi"/>
          <w:szCs w:val="22"/>
        </w:rPr>
        <w:sym w:font="Wingdings" w:char="F0E0"/>
      </w:r>
      <w:r w:rsidRPr="00E0363A">
        <w:rPr>
          <w:rFonts w:cstheme="minorHAnsi"/>
          <w:szCs w:val="22"/>
        </w:rPr>
        <w:t xml:space="preserve"> </w:t>
      </w:r>
      <w:r w:rsidRPr="00E0363A">
        <w:rPr>
          <w:rFonts w:cstheme="minorHAnsi"/>
          <w:i/>
          <w:szCs w:val="22"/>
        </w:rPr>
        <w:t>Based on the response, the review is in compliance with this section. Continue to the Worksheet Summary below. Provide documentation used to make your determination, such as a map identifying the project site and its surrounding area or a list of rivers in your region in the Screen Summary at the conclusion of this screen.</w:t>
      </w:r>
      <w:r w:rsidRPr="00E0363A">
        <w:rPr>
          <w:rFonts w:cstheme="minorHAnsi"/>
          <w:szCs w:val="22"/>
        </w:rPr>
        <w:t xml:space="preserve">   </w:t>
      </w:r>
    </w:p>
    <w:p w:rsidR="002914CB" w:rsidRPr="004C6F1E" w:rsidRDefault="002914CB" w:rsidP="00837F44">
      <w:pPr>
        <w:tabs>
          <w:tab w:val="left" w:pos="990"/>
        </w:tabs>
        <w:ind w:left="990" w:hanging="432"/>
        <w:rPr>
          <w:rFonts w:cstheme="minorHAnsi"/>
          <w:sz w:val="24"/>
        </w:rPr>
      </w:pPr>
    </w:p>
    <w:p w:rsidR="002914CB" w:rsidRDefault="00062E71" w:rsidP="001A78E5">
      <w:pPr>
        <w:tabs>
          <w:tab w:val="left" w:pos="540"/>
          <w:tab w:val="left" w:pos="1260"/>
        </w:tabs>
        <w:ind w:left="540"/>
        <w:rPr>
          <w:rFonts w:cstheme="minorHAnsi"/>
          <w:i/>
          <w:sz w:val="24"/>
        </w:rPr>
      </w:pPr>
      <w:sdt>
        <w:sdtPr>
          <w:rPr>
            <w:rFonts w:cstheme="minorHAnsi"/>
            <w:sz w:val="24"/>
          </w:rPr>
          <w:id w:val="-1112826733"/>
          <w14:checkbox>
            <w14:checked w14:val="0"/>
            <w14:checkedState w14:val="2612" w14:font="MS Gothic"/>
            <w14:uncheckedState w14:val="2610" w14:font="MS Gothic"/>
          </w14:checkbox>
        </w:sdtPr>
        <w:sdtEndPr/>
        <w:sdtContent>
          <w:r w:rsidR="00C6091B">
            <w:rPr>
              <w:rFonts w:ascii="MS Gothic" w:eastAsia="MS Gothic" w:hAnsi="MS Gothic" w:cstheme="minorHAnsi" w:hint="eastAsia"/>
              <w:sz w:val="24"/>
            </w:rPr>
            <w:t>☐</w:t>
          </w:r>
        </w:sdtContent>
      </w:sdt>
      <w:r w:rsidR="00C6091B">
        <w:rPr>
          <w:rFonts w:cstheme="minorHAnsi"/>
          <w:sz w:val="24"/>
        </w:rPr>
        <w:t xml:space="preserve">  </w:t>
      </w:r>
      <w:r w:rsidR="002914CB" w:rsidRPr="00837F44">
        <w:rPr>
          <w:rFonts w:cstheme="minorHAnsi"/>
          <w:sz w:val="24"/>
        </w:rPr>
        <w:t>Yes, the project is in proximity of a Nationwide Rivers Inventory (NRI)</w:t>
      </w:r>
      <w:r w:rsidR="002914CB" w:rsidRPr="00837F44">
        <w:rPr>
          <w:rFonts w:cstheme="minorHAnsi"/>
          <w:b/>
          <w:sz w:val="24"/>
        </w:rPr>
        <w:t xml:space="preserve"> </w:t>
      </w:r>
      <w:r w:rsidR="002914CB" w:rsidRPr="00837F44">
        <w:rPr>
          <w:rFonts w:cstheme="minorHAnsi"/>
          <w:sz w:val="24"/>
        </w:rPr>
        <w:t xml:space="preserve">River. </w:t>
      </w:r>
      <w:r w:rsidR="00837F44">
        <w:rPr>
          <w:rFonts w:cstheme="minorHAnsi"/>
          <w:sz w:val="24"/>
        </w:rPr>
        <w:t xml:space="preserve"> </w:t>
      </w:r>
      <w:r w:rsidR="00837F44">
        <w:rPr>
          <w:rFonts w:cstheme="minorHAnsi"/>
          <w:sz w:val="24"/>
        </w:rPr>
        <w:tab/>
      </w:r>
      <w:r w:rsidR="00837F44">
        <w:rPr>
          <w:rFonts w:cstheme="minorHAnsi"/>
          <w:sz w:val="24"/>
        </w:rPr>
        <w:tab/>
        <w:t xml:space="preserve">          </w:t>
      </w:r>
      <w:r w:rsidR="002914CB" w:rsidRPr="00E0363A">
        <w:rPr>
          <w:szCs w:val="22"/>
        </w:rPr>
        <w:sym w:font="Wingdings" w:char="F0E0"/>
      </w:r>
      <w:r w:rsidR="002914CB" w:rsidRPr="00E0363A">
        <w:rPr>
          <w:rFonts w:cstheme="minorHAnsi"/>
          <w:szCs w:val="22"/>
        </w:rPr>
        <w:t xml:space="preserve"> </w:t>
      </w:r>
      <w:r w:rsidR="002914CB" w:rsidRPr="00E0363A">
        <w:rPr>
          <w:rFonts w:cstheme="minorHAnsi"/>
          <w:i/>
          <w:szCs w:val="22"/>
        </w:rPr>
        <w:t xml:space="preserve">Continue to Question </w:t>
      </w:r>
      <w:r w:rsidR="00C6091B" w:rsidRPr="00E0363A">
        <w:rPr>
          <w:rFonts w:cstheme="minorHAnsi"/>
          <w:i/>
          <w:szCs w:val="22"/>
        </w:rPr>
        <w:t>2</w:t>
      </w:r>
      <w:r w:rsidR="002914CB" w:rsidRPr="00E0363A">
        <w:rPr>
          <w:rFonts w:cstheme="minorHAnsi"/>
          <w:i/>
          <w:szCs w:val="22"/>
        </w:rPr>
        <w:t>.</w:t>
      </w:r>
    </w:p>
    <w:p w:rsidR="00C6091B" w:rsidRPr="00837F44" w:rsidRDefault="00C6091B" w:rsidP="00C6091B">
      <w:pPr>
        <w:tabs>
          <w:tab w:val="left" w:pos="540"/>
          <w:tab w:val="left" w:pos="1260"/>
        </w:tabs>
        <w:rPr>
          <w:rFonts w:cstheme="minorHAnsi"/>
          <w:sz w:val="24"/>
        </w:rPr>
      </w:pPr>
    </w:p>
    <w:p w:rsidR="002914CB" w:rsidRPr="004C6F1E" w:rsidRDefault="002914CB" w:rsidP="001A78E5">
      <w:pPr>
        <w:pStyle w:val="ListParagraph"/>
        <w:numPr>
          <w:ilvl w:val="0"/>
          <w:numId w:val="4"/>
        </w:numPr>
        <w:tabs>
          <w:tab w:val="left" w:pos="540"/>
        </w:tabs>
        <w:ind w:left="180" w:firstLine="0"/>
        <w:rPr>
          <w:rFonts w:cstheme="minorHAnsi"/>
          <w:b/>
          <w:sz w:val="24"/>
        </w:rPr>
      </w:pPr>
      <w:r w:rsidRPr="004C6F1E">
        <w:rPr>
          <w:rFonts w:cstheme="minorHAnsi"/>
          <w:b/>
          <w:sz w:val="24"/>
        </w:rPr>
        <w:t xml:space="preserve">Could the project do </w:t>
      </w:r>
      <w:r w:rsidRPr="004C6F1E">
        <w:rPr>
          <w:rFonts w:cstheme="minorHAnsi"/>
          <w:b/>
          <w:i/>
          <w:sz w:val="24"/>
        </w:rPr>
        <w:t xml:space="preserve">any </w:t>
      </w:r>
      <w:r w:rsidRPr="004C6F1E">
        <w:rPr>
          <w:rFonts w:cstheme="minorHAnsi"/>
          <w:b/>
          <w:sz w:val="24"/>
        </w:rPr>
        <w:t>of the following?</w:t>
      </w:r>
    </w:p>
    <w:p w:rsidR="002914CB" w:rsidRPr="004C6F1E" w:rsidRDefault="002914CB" w:rsidP="001A78E5">
      <w:pPr>
        <w:pStyle w:val="ListParagraph"/>
        <w:numPr>
          <w:ilvl w:val="0"/>
          <w:numId w:val="6"/>
        </w:numPr>
        <w:jc w:val="both"/>
        <w:rPr>
          <w:rFonts w:cstheme="minorHAnsi"/>
          <w:sz w:val="24"/>
        </w:rPr>
      </w:pPr>
      <w:r w:rsidRPr="004C6F1E">
        <w:rPr>
          <w:rFonts w:cstheme="minorHAnsi"/>
          <w:sz w:val="24"/>
        </w:rPr>
        <w:t>Have a direct and adverse effect within Wild and Scenic River Boundaries,</w:t>
      </w:r>
    </w:p>
    <w:p w:rsidR="002914CB" w:rsidRPr="004C6F1E" w:rsidRDefault="002914CB" w:rsidP="001A78E5">
      <w:pPr>
        <w:pStyle w:val="ListParagraph"/>
        <w:numPr>
          <w:ilvl w:val="0"/>
          <w:numId w:val="6"/>
        </w:numPr>
        <w:jc w:val="both"/>
        <w:rPr>
          <w:rFonts w:cstheme="minorHAnsi"/>
          <w:sz w:val="24"/>
        </w:rPr>
      </w:pPr>
      <w:r w:rsidRPr="004C6F1E">
        <w:rPr>
          <w:rFonts w:cstheme="minorHAnsi"/>
          <w:sz w:val="24"/>
        </w:rPr>
        <w:t>Invade the area or unreasonably diminish the river outside Wild and Scenic River Boundaries, or</w:t>
      </w:r>
    </w:p>
    <w:p w:rsidR="002914CB" w:rsidRPr="004C6F1E" w:rsidRDefault="002914CB" w:rsidP="001A78E5">
      <w:pPr>
        <w:pStyle w:val="ListParagraph"/>
        <w:numPr>
          <w:ilvl w:val="0"/>
          <w:numId w:val="6"/>
        </w:numPr>
        <w:jc w:val="both"/>
        <w:rPr>
          <w:rFonts w:cstheme="minorHAnsi"/>
          <w:sz w:val="24"/>
        </w:rPr>
      </w:pPr>
      <w:r w:rsidRPr="004C6F1E">
        <w:rPr>
          <w:rFonts w:cstheme="minorHAnsi"/>
          <w:sz w:val="24"/>
        </w:rPr>
        <w:t>Have an adverse effect on the natural, cultural, and/or recreational values of a NRI segment.</w:t>
      </w:r>
    </w:p>
    <w:p w:rsidR="002914CB" w:rsidRPr="004C6F1E" w:rsidRDefault="002914CB" w:rsidP="001A78E5">
      <w:pPr>
        <w:pStyle w:val="ListParagraph"/>
        <w:jc w:val="both"/>
        <w:rPr>
          <w:rFonts w:cstheme="minorHAnsi"/>
          <w:sz w:val="24"/>
        </w:rPr>
      </w:pPr>
    </w:p>
    <w:p w:rsidR="002914CB" w:rsidRPr="004C6F1E" w:rsidRDefault="002914CB" w:rsidP="00E0363A">
      <w:pPr>
        <w:pStyle w:val="ListParagraph"/>
        <w:ind w:left="540"/>
        <w:jc w:val="both"/>
        <w:rPr>
          <w:rFonts w:cstheme="minorHAnsi"/>
          <w:sz w:val="24"/>
          <w:u w:val="single"/>
        </w:rPr>
      </w:pPr>
      <w:r w:rsidRPr="004C6F1E">
        <w:rPr>
          <w:rFonts w:cstheme="minorHAnsi"/>
          <w:sz w:val="24"/>
        </w:rPr>
        <w:lastRenderedPageBreak/>
        <w:t xml:space="preserve">Consultation with the appropriate federal/state/local/tribal Managing Agency(s) is required, pursuant to Section 7 of the Act, to determine if the proposed project may have an adverse effect on a Wild &amp; Scenic River or a Study River and, if so, to determine the appropriate avoidance or mitigation measures. </w:t>
      </w:r>
      <w:r w:rsidRPr="004C6F1E">
        <w:rPr>
          <w:rFonts w:cstheme="minorHAnsi"/>
          <w:sz w:val="24"/>
          <w:u w:val="single"/>
        </w:rPr>
        <w:t xml:space="preserve"> </w:t>
      </w:r>
    </w:p>
    <w:p w:rsidR="002914CB" w:rsidRPr="004C6F1E" w:rsidRDefault="002914CB" w:rsidP="00E0363A">
      <w:pPr>
        <w:pStyle w:val="ListParagraph"/>
        <w:ind w:left="540"/>
        <w:jc w:val="both"/>
        <w:rPr>
          <w:rFonts w:cstheme="minorHAnsi"/>
          <w:sz w:val="24"/>
        </w:rPr>
      </w:pPr>
      <w:r w:rsidRPr="004C6F1E">
        <w:rPr>
          <w:rFonts w:cstheme="minorHAnsi"/>
          <w:sz w:val="24"/>
          <w:u w:val="single"/>
        </w:rPr>
        <w:t>Note</w:t>
      </w:r>
      <w:r w:rsidRPr="004C6F1E">
        <w:rPr>
          <w:rFonts w:cstheme="minorHAnsi"/>
          <w:sz w:val="24"/>
        </w:rPr>
        <w:t>: Concurrence may be assumed if the Managing Agency does not respond within 30 days; however, you are still obligated to avoid or mitigate adverse effects on the rivers identified in the NWSRS</w:t>
      </w:r>
    </w:p>
    <w:p w:rsidR="002914CB" w:rsidRPr="004C6F1E" w:rsidRDefault="002914CB" w:rsidP="001A78E5">
      <w:pPr>
        <w:pStyle w:val="ListParagraph"/>
        <w:ind w:left="1440"/>
        <w:jc w:val="both"/>
        <w:rPr>
          <w:rFonts w:cstheme="minorHAnsi"/>
          <w:sz w:val="24"/>
        </w:rPr>
      </w:pPr>
    </w:p>
    <w:p w:rsidR="001A78E5" w:rsidRDefault="00062E71" w:rsidP="00E0363A">
      <w:pPr>
        <w:pStyle w:val="ListParagraph"/>
        <w:tabs>
          <w:tab w:val="left" w:pos="450"/>
        </w:tabs>
        <w:ind w:left="900" w:hanging="360"/>
        <w:jc w:val="both"/>
        <w:rPr>
          <w:rFonts w:cstheme="minorHAnsi"/>
          <w:sz w:val="24"/>
        </w:rPr>
      </w:pPr>
      <w:sdt>
        <w:sdtPr>
          <w:rPr>
            <w:rFonts w:cstheme="minorHAnsi"/>
            <w:sz w:val="24"/>
          </w:rPr>
          <w:id w:val="-2103865694"/>
          <w14:checkbox>
            <w14:checked w14:val="0"/>
            <w14:checkedState w14:val="2612" w14:font="MS Gothic"/>
            <w14:uncheckedState w14:val="2610" w14:font="MS Gothic"/>
          </w14:checkbox>
        </w:sdtPr>
        <w:sdtEndPr/>
        <w:sdtContent>
          <w:r w:rsidR="00C6091B">
            <w:rPr>
              <w:rFonts w:ascii="MS Gothic" w:eastAsia="MS Gothic" w:hAnsi="MS Gothic" w:cstheme="minorHAnsi" w:hint="eastAsia"/>
              <w:sz w:val="24"/>
            </w:rPr>
            <w:t>☐</w:t>
          </w:r>
        </w:sdtContent>
      </w:sdt>
      <w:r w:rsidR="00C6091B">
        <w:rPr>
          <w:rFonts w:cstheme="minorHAnsi"/>
          <w:sz w:val="24"/>
        </w:rPr>
        <w:t xml:space="preserve"> </w:t>
      </w:r>
      <w:r w:rsidR="002914CB" w:rsidRPr="004C6F1E">
        <w:rPr>
          <w:rFonts w:cstheme="minorHAnsi"/>
          <w:sz w:val="24"/>
        </w:rPr>
        <w:t xml:space="preserve">No, the Managing Agency has concurred that the proposed project will not alter, directly, or indirectly, any of the characteristics that qualifies or potentially qualifies the river for inclusion in the NWSRS. </w:t>
      </w:r>
    </w:p>
    <w:p w:rsidR="002914CB" w:rsidRPr="00E0363A" w:rsidRDefault="00F40D0E" w:rsidP="00E0363A">
      <w:pPr>
        <w:pStyle w:val="ListParagraph"/>
        <w:tabs>
          <w:tab w:val="left" w:pos="450"/>
        </w:tabs>
        <w:ind w:left="900" w:hanging="360"/>
        <w:jc w:val="both"/>
        <w:rPr>
          <w:rFonts w:cstheme="minorHAnsi"/>
          <w:szCs w:val="22"/>
        </w:rPr>
      </w:pPr>
      <w:r w:rsidRPr="00E0363A">
        <w:rPr>
          <w:rFonts w:cstheme="minorHAnsi"/>
          <w:szCs w:val="22"/>
        </w:rPr>
        <w:sym w:font="Wingdings" w:char="F0E0"/>
      </w:r>
      <w:r w:rsidRPr="00E0363A">
        <w:rPr>
          <w:rFonts w:cstheme="minorHAnsi"/>
          <w:i/>
          <w:szCs w:val="22"/>
        </w:rPr>
        <w:t xml:space="preserve">  Based on the response, the review is in compliance with this section. Continue to the Worksheet Summary below. Provide</w:t>
      </w:r>
      <w:r w:rsidR="002914CB" w:rsidRPr="00E0363A">
        <w:rPr>
          <w:rFonts w:cstheme="minorHAnsi"/>
          <w:i/>
          <w:szCs w:val="22"/>
        </w:rPr>
        <w:t xml:space="preserve"> documentation of the consultation (including the Managing Agency’s concurrence) and any other documentation </w:t>
      </w:r>
      <w:r w:rsidRPr="00E0363A">
        <w:rPr>
          <w:rFonts w:cstheme="minorHAnsi"/>
          <w:i/>
          <w:szCs w:val="22"/>
        </w:rPr>
        <w:t>used to make your determination.</w:t>
      </w:r>
      <w:r w:rsidRPr="00E0363A">
        <w:rPr>
          <w:rFonts w:cstheme="minorHAnsi"/>
          <w:szCs w:val="22"/>
        </w:rPr>
        <w:t xml:space="preserve"> </w:t>
      </w:r>
    </w:p>
    <w:p w:rsidR="002914CB" w:rsidRPr="004C6F1E" w:rsidRDefault="002914CB" w:rsidP="001A78E5">
      <w:pPr>
        <w:pStyle w:val="BusinessRules"/>
        <w:ind w:left="990"/>
        <w:jc w:val="both"/>
        <w:rPr>
          <w:rFonts w:cstheme="minorHAnsi"/>
          <w:sz w:val="24"/>
        </w:rPr>
      </w:pPr>
    </w:p>
    <w:p w:rsidR="001A78E5" w:rsidRDefault="00062E71" w:rsidP="00E0363A">
      <w:pPr>
        <w:pStyle w:val="ListParagraph"/>
        <w:ind w:left="900" w:hanging="360"/>
        <w:jc w:val="both"/>
        <w:rPr>
          <w:rFonts w:cstheme="minorHAnsi"/>
          <w:sz w:val="24"/>
        </w:rPr>
      </w:pPr>
      <w:sdt>
        <w:sdtPr>
          <w:rPr>
            <w:rFonts w:cstheme="minorHAnsi"/>
            <w:sz w:val="24"/>
          </w:rPr>
          <w:id w:val="-635333069"/>
          <w14:checkbox>
            <w14:checked w14:val="0"/>
            <w14:checkedState w14:val="2612" w14:font="MS Gothic"/>
            <w14:uncheckedState w14:val="2610" w14:font="MS Gothic"/>
          </w14:checkbox>
        </w:sdtPr>
        <w:sdtEndPr/>
        <w:sdtContent>
          <w:r w:rsidR="00C6091B">
            <w:rPr>
              <w:rFonts w:ascii="MS Gothic" w:eastAsia="MS Gothic" w:hAnsi="MS Gothic" w:cstheme="minorHAnsi" w:hint="eastAsia"/>
              <w:sz w:val="24"/>
            </w:rPr>
            <w:t>☐</w:t>
          </w:r>
        </w:sdtContent>
      </w:sdt>
      <w:r w:rsidR="00C6091B">
        <w:rPr>
          <w:rFonts w:cstheme="minorHAnsi"/>
          <w:sz w:val="24"/>
        </w:rPr>
        <w:t xml:space="preserve">  </w:t>
      </w:r>
      <w:r w:rsidR="002914CB" w:rsidRPr="004C6F1E">
        <w:rPr>
          <w:rFonts w:cstheme="minorHAnsi"/>
          <w:sz w:val="24"/>
        </w:rPr>
        <w:t>Yes, the Managing Agency was consulted and the proposed project may alter, directly, or indirectly, any of the characteristics that qualifies or potentially qualifies the river for inclusion in the NWSRS</w:t>
      </w:r>
      <w:r w:rsidR="00F40D0E" w:rsidRPr="004C6F1E">
        <w:rPr>
          <w:rFonts w:cstheme="minorHAnsi"/>
          <w:sz w:val="24"/>
        </w:rPr>
        <w:t>.</w:t>
      </w:r>
      <w:r w:rsidR="002914CB" w:rsidRPr="004C6F1E">
        <w:rPr>
          <w:rFonts w:cstheme="minorHAnsi"/>
          <w:sz w:val="24"/>
        </w:rPr>
        <w:t xml:space="preserve"> </w:t>
      </w:r>
    </w:p>
    <w:p w:rsidR="00F40D0E" w:rsidRPr="00E0363A" w:rsidRDefault="00F40D0E" w:rsidP="001A78E5">
      <w:pPr>
        <w:pStyle w:val="ListParagraph"/>
        <w:ind w:left="540"/>
        <w:jc w:val="both"/>
        <w:rPr>
          <w:rFonts w:cstheme="minorHAnsi"/>
          <w:i/>
          <w:szCs w:val="22"/>
        </w:rPr>
      </w:pPr>
      <w:r w:rsidRPr="00E0363A">
        <w:rPr>
          <w:rFonts w:cstheme="minorHAnsi"/>
          <w:szCs w:val="22"/>
        </w:rPr>
        <w:sym w:font="Wingdings" w:char="F0E0"/>
      </w:r>
      <w:r w:rsidRPr="00E0363A">
        <w:rPr>
          <w:rFonts w:cstheme="minorHAnsi"/>
          <w:szCs w:val="22"/>
        </w:rPr>
        <w:t xml:space="preserve"> </w:t>
      </w:r>
      <w:r w:rsidR="00687C37">
        <w:rPr>
          <w:rFonts w:cstheme="minorHAnsi"/>
          <w:szCs w:val="22"/>
        </w:rPr>
        <w:t xml:space="preserve"> </w:t>
      </w:r>
      <w:r w:rsidRPr="00E0363A">
        <w:rPr>
          <w:rFonts w:cstheme="minorHAnsi"/>
          <w:i/>
          <w:szCs w:val="22"/>
        </w:rPr>
        <w:t xml:space="preserve">Continue to Question </w:t>
      </w:r>
      <w:r w:rsidR="00C6091B" w:rsidRPr="00E0363A">
        <w:rPr>
          <w:rFonts w:cstheme="minorHAnsi"/>
          <w:i/>
          <w:szCs w:val="22"/>
        </w:rPr>
        <w:t>3</w:t>
      </w:r>
      <w:r w:rsidRPr="00E0363A">
        <w:rPr>
          <w:rFonts w:cstheme="minorHAnsi"/>
          <w:i/>
          <w:szCs w:val="22"/>
        </w:rPr>
        <w:t xml:space="preserve">. </w:t>
      </w:r>
    </w:p>
    <w:p w:rsidR="00F40D0E" w:rsidRPr="004C6F1E" w:rsidRDefault="00F40D0E" w:rsidP="001A78E5">
      <w:pPr>
        <w:pStyle w:val="ListParagraph"/>
        <w:ind w:left="990"/>
        <w:jc w:val="both"/>
        <w:rPr>
          <w:rFonts w:cstheme="minorHAnsi"/>
          <w:b/>
          <w:sz w:val="24"/>
        </w:rPr>
      </w:pPr>
    </w:p>
    <w:p w:rsidR="002914CB" w:rsidRPr="004C6F1E" w:rsidRDefault="002914CB" w:rsidP="001A78E5">
      <w:pPr>
        <w:pStyle w:val="ListParagraph"/>
        <w:numPr>
          <w:ilvl w:val="0"/>
          <w:numId w:val="4"/>
        </w:numPr>
        <w:ind w:hanging="540"/>
        <w:jc w:val="both"/>
        <w:rPr>
          <w:rFonts w:cstheme="minorHAnsi"/>
          <w:b/>
          <w:sz w:val="24"/>
        </w:rPr>
      </w:pPr>
      <w:r w:rsidRPr="004C6F1E">
        <w:rPr>
          <w:rFonts w:cstheme="minorHAnsi"/>
          <w:b/>
          <w:sz w:val="24"/>
        </w:rPr>
        <w:t xml:space="preserve">For the project to be brought into compliance with this section, all adverse impacts must be mitigated. Explain in detail the </w:t>
      </w:r>
      <w:r w:rsidR="00837F44">
        <w:rPr>
          <w:rFonts w:cstheme="minorHAnsi"/>
          <w:b/>
          <w:sz w:val="24"/>
        </w:rPr>
        <w:t>proposed</w:t>
      </w:r>
      <w:r w:rsidRPr="004C6F1E">
        <w:rPr>
          <w:rFonts w:cstheme="minorHAnsi"/>
          <w:b/>
          <w:sz w:val="24"/>
        </w:rPr>
        <w:t xml:space="preserve"> measures that must be implemented to mitigate for the impact or effect, including the timeline for implementation. </w:t>
      </w:r>
    </w:p>
    <w:p w:rsidR="002914CB" w:rsidRPr="004C6F1E" w:rsidRDefault="001A78E5" w:rsidP="002914CB">
      <w:pPr>
        <w:rPr>
          <w:rFonts w:cstheme="minorHAnsi"/>
          <w:b/>
          <w:sz w:val="24"/>
        </w:rPr>
      </w:pPr>
      <w:r>
        <w:rPr>
          <w:rFonts w:cstheme="minorHAnsi"/>
          <w:b/>
          <w:noProof/>
          <w:sz w:val="24"/>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55880</wp:posOffset>
                </wp:positionV>
                <wp:extent cx="556260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626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8E5" w:rsidRDefault="001A7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5pt;margin-top:4.4pt;width:438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" fillcolor="white [3201]" strokeweight=".5pt">
                <v:textbox>
                  <w:txbxContent>
                    <w:p w:rsidR="001A78E5" w:rsidRDefault="001A78E5"/>
                  </w:txbxContent>
                </v:textbox>
              </v:shape>
            </w:pict>
          </mc:Fallback>
        </mc:AlternateContent>
      </w:r>
    </w:p>
    <w:p w:rsidR="002914CB" w:rsidRPr="004C6F1E" w:rsidRDefault="002914CB" w:rsidP="002914CB">
      <w:pPr>
        <w:rPr>
          <w:rFonts w:cstheme="minorHAnsi"/>
          <w:b/>
          <w:sz w:val="24"/>
        </w:rPr>
      </w:pPr>
    </w:p>
    <w:p w:rsidR="002914CB" w:rsidRPr="004C6F1E" w:rsidRDefault="002914CB" w:rsidP="002914CB">
      <w:pPr>
        <w:rPr>
          <w:rFonts w:cstheme="minorHAnsi"/>
          <w:b/>
          <w:sz w:val="24"/>
        </w:rPr>
      </w:pPr>
    </w:p>
    <w:p w:rsidR="002914CB" w:rsidRPr="004C6F1E" w:rsidRDefault="002914CB" w:rsidP="002914CB">
      <w:pPr>
        <w:rPr>
          <w:rFonts w:cstheme="minorHAnsi"/>
          <w:b/>
          <w:sz w:val="24"/>
        </w:rPr>
      </w:pPr>
    </w:p>
    <w:p w:rsidR="00E04BDB" w:rsidRPr="00E0363A" w:rsidRDefault="00E04BDB" w:rsidP="002914CB">
      <w:pPr>
        <w:ind w:left="1080"/>
        <w:rPr>
          <w:rFonts w:cstheme="minorHAnsi"/>
          <w:szCs w:val="22"/>
        </w:rPr>
      </w:pPr>
    </w:p>
    <w:p w:rsidR="00E0363A" w:rsidRDefault="00E04BDB" w:rsidP="00384249">
      <w:pPr>
        <w:ind w:left="720"/>
        <w:jc w:val="both"/>
        <w:rPr>
          <w:rFonts w:cstheme="minorHAnsi"/>
          <w:color w:val="FF0000"/>
          <w:szCs w:val="22"/>
        </w:rPr>
      </w:pPr>
      <w:r w:rsidRPr="00E0363A">
        <w:rPr>
          <w:rFonts w:cstheme="minorHAnsi"/>
          <w:szCs w:val="22"/>
        </w:rPr>
        <w:sym w:font="Wingdings" w:char="F0E0"/>
      </w:r>
      <w:r w:rsidR="001A78E5" w:rsidRPr="00E0363A">
        <w:rPr>
          <w:rFonts w:cstheme="minorHAnsi"/>
          <w:i/>
          <w:szCs w:val="22"/>
        </w:rPr>
        <w:t xml:space="preserve"> </w:t>
      </w:r>
      <w:r w:rsidRPr="00E0363A">
        <w:rPr>
          <w:rFonts w:cstheme="minorHAnsi"/>
          <w:i/>
          <w:szCs w:val="22"/>
        </w:rPr>
        <w:t>Continue to the Worksheet Summary below. Provide documentation of the consultation (including the Managing Agency’s concurrence) and any other documentation used to make your determination.</w:t>
      </w:r>
      <w:r w:rsidRPr="00E0363A">
        <w:rPr>
          <w:rFonts w:cstheme="minorHAnsi"/>
          <w:szCs w:val="22"/>
        </w:rPr>
        <w:t xml:space="preserve"> </w:t>
      </w: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Default="00384249" w:rsidP="00384249">
      <w:pPr>
        <w:ind w:left="720"/>
        <w:jc w:val="both"/>
        <w:rPr>
          <w:rFonts w:cstheme="minorHAnsi"/>
          <w:color w:val="FF0000"/>
          <w:szCs w:val="22"/>
        </w:rPr>
      </w:pPr>
    </w:p>
    <w:p w:rsidR="00384249" w:rsidRPr="00384249" w:rsidRDefault="00384249" w:rsidP="00384249">
      <w:pPr>
        <w:ind w:left="720"/>
        <w:jc w:val="both"/>
        <w:rPr>
          <w:rFonts w:cstheme="minorHAnsi"/>
          <w:color w:val="FF0000"/>
          <w:szCs w:val="22"/>
        </w:rPr>
      </w:pPr>
    </w:p>
    <w:p w:rsidR="001A78E5" w:rsidRPr="004C6F1E" w:rsidRDefault="001A78E5" w:rsidP="002914CB">
      <w:pPr>
        <w:ind w:left="1080"/>
        <w:rPr>
          <w:rFonts w:cstheme="minorHAnsi"/>
          <w:color w:val="FF0000"/>
          <w:sz w:val="24"/>
        </w:rPr>
      </w:pPr>
    </w:p>
    <w:p w:rsidR="002914CB" w:rsidRPr="004C6F1E" w:rsidRDefault="00E04BDB" w:rsidP="002914CB">
      <w:pPr>
        <w:rPr>
          <w:rFonts w:cstheme="minorHAnsi"/>
          <w:b/>
          <w:sz w:val="24"/>
          <w:u w:val="single"/>
        </w:rPr>
      </w:pPr>
      <w:bookmarkStart w:id="1" w:name="_Toc353375484"/>
      <w:r w:rsidRPr="004C6F1E">
        <w:rPr>
          <w:rFonts w:cstheme="minorHAnsi"/>
          <w:b/>
          <w:sz w:val="24"/>
          <w:u w:val="single"/>
        </w:rPr>
        <w:lastRenderedPageBreak/>
        <w:t>Worksheet</w:t>
      </w:r>
      <w:r w:rsidR="002914CB" w:rsidRPr="004C6F1E">
        <w:rPr>
          <w:rFonts w:cstheme="minorHAnsi"/>
          <w:b/>
          <w:sz w:val="24"/>
          <w:u w:val="single"/>
        </w:rPr>
        <w:t xml:space="preserve"> Summary </w:t>
      </w:r>
      <w:bookmarkEnd w:id="1"/>
    </w:p>
    <w:p w:rsidR="002914CB" w:rsidRPr="004C6F1E" w:rsidRDefault="002914CB" w:rsidP="002914CB">
      <w:pPr>
        <w:rPr>
          <w:rFonts w:cstheme="minorHAnsi"/>
          <w:b/>
          <w:sz w:val="24"/>
        </w:rPr>
      </w:pPr>
      <w:bookmarkStart w:id="2" w:name="_Toc353375485"/>
      <w:r w:rsidRPr="004C6F1E">
        <w:rPr>
          <w:rFonts w:cstheme="minorHAnsi"/>
          <w:b/>
          <w:sz w:val="24"/>
        </w:rPr>
        <w:t>Compliance Determination</w:t>
      </w:r>
      <w:bookmarkEnd w:id="2"/>
    </w:p>
    <w:p w:rsidR="002914CB" w:rsidRPr="004C6F1E" w:rsidRDefault="00E04BDB" w:rsidP="002914CB">
      <w:pPr>
        <w:pStyle w:val="PlainText"/>
        <w:rPr>
          <w:rFonts w:asciiTheme="minorHAnsi" w:hAnsiTheme="minorHAnsi" w:cstheme="minorHAnsi"/>
          <w:bCs/>
          <w:sz w:val="24"/>
          <w:szCs w:val="24"/>
        </w:rPr>
      </w:pPr>
      <w:r w:rsidRPr="004C6F1E">
        <w:rPr>
          <w:rFonts w:asciiTheme="minorHAnsi" w:hAnsiTheme="minorHAnsi" w:cstheme="minorHAnsi"/>
          <w:bCs/>
          <w:sz w:val="24"/>
          <w:szCs w:val="24"/>
        </w:rPr>
        <w:t>P</w:t>
      </w:r>
      <w:r w:rsidR="002914CB" w:rsidRPr="004C6F1E">
        <w:rPr>
          <w:rFonts w:asciiTheme="minorHAnsi" w:hAnsiTheme="minorHAnsi" w:cstheme="minorHAnsi"/>
          <w:bCs/>
          <w:sz w:val="24"/>
          <w:szCs w:val="24"/>
        </w:rPr>
        <w:t>rovide a clear description of your determination and a synopsis of the information that it was based on, such as:</w:t>
      </w:r>
    </w:p>
    <w:p w:rsidR="002914CB" w:rsidRPr="004C6F1E" w:rsidRDefault="002914CB" w:rsidP="002914CB">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Map panel numbers and dates</w:t>
      </w:r>
    </w:p>
    <w:p w:rsidR="002914CB" w:rsidRPr="004C6F1E" w:rsidRDefault="002914CB" w:rsidP="002914CB">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Names of all consulted parties and relevant consultation dates</w:t>
      </w:r>
    </w:p>
    <w:p w:rsidR="002914CB" w:rsidRPr="004C6F1E" w:rsidRDefault="002914CB" w:rsidP="002914CB">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Names of plans or reports and relevant page numbers</w:t>
      </w:r>
    </w:p>
    <w:p w:rsidR="002914CB" w:rsidRPr="004C6F1E" w:rsidRDefault="002914CB" w:rsidP="002914CB">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Any additional requirements specific to your region</w:t>
      </w:r>
    </w:p>
    <w:p w:rsidR="002914CB" w:rsidRPr="004C6F1E" w:rsidRDefault="001A78E5" w:rsidP="002914CB">
      <w:pPr>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81280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78E5" w:rsidRDefault="001A7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75pt;margin-top:6.4pt;width:479.25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uylwIAALoFAAAOAAAAZHJzL2Uyb0RvYy54bWysVFFPGzEMfp+0/xDlfdy1K4V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" fillcolor="white [3201]" strokeweight=".5pt">
                <v:textbox>
                  <w:txbxContent>
                    <w:p w:rsidR="001A78E5" w:rsidRDefault="001A78E5"/>
                  </w:txbxContent>
                </v:textbox>
              </v:shape>
            </w:pict>
          </mc:Fallback>
        </mc:AlternateContent>
      </w: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E04BDB" w:rsidRPr="004C6F1E" w:rsidRDefault="00E04BDB" w:rsidP="002914CB">
      <w:pPr>
        <w:rPr>
          <w:rFonts w:cstheme="minorHAnsi"/>
          <w:sz w:val="24"/>
        </w:rPr>
      </w:pPr>
    </w:p>
    <w:p w:rsidR="002914CB" w:rsidRPr="004C6F1E" w:rsidRDefault="002914CB" w:rsidP="002914CB">
      <w:pPr>
        <w:rPr>
          <w:rFonts w:cstheme="minorHAnsi"/>
          <w:b/>
          <w:sz w:val="24"/>
        </w:rPr>
      </w:pPr>
      <w:bookmarkStart w:id="3" w:name="_Toc353375488"/>
      <w:r w:rsidRPr="004C6F1E">
        <w:rPr>
          <w:rFonts w:cstheme="minorHAnsi"/>
          <w:b/>
          <w:sz w:val="24"/>
        </w:rPr>
        <w:t>Are formal compliance steps or mitigation required?</w:t>
      </w:r>
      <w:bookmarkEnd w:id="3"/>
      <w:r w:rsidRPr="004C6F1E">
        <w:rPr>
          <w:rFonts w:cstheme="minorHAnsi"/>
          <w:b/>
          <w:sz w:val="24"/>
        </w:rPr>
        <w:t xml:space="preserve"> </w:t>
      </w:r>
    </w:p>
    <w:p w:rsidR="002914CB" w:rsidRPr="004C6F1E" w:rsidRDefault="00062E71" w:rsidP="001A78E5">
      <w:pPr>
        <w:pStyle w:val="ListParagraph"/>
        <w:spacing w:line="276" w:lineRule="auto"/>
        <w:rPr>
          <w:rFonts w:cstheme="minorHAnsi"/>
          <w:sz w:val="24"/>
        </w:rPr>
      </w:pPr>
      <w:sdt>
        <w:sdtPr>
          <w:rPr>
            <w:rFonts w:cstheme="minorHAnsi"/>
            <w:sz w:val="24"/>
          </w:rPr>
          <w:id w:val="485057005"/>
          <w14:checkbox>
            <w14:checked w14:val="0"/>
            <w14:checkedState w14:val="2612" w14:font="MS Gothic"/>
            <w14:uncheckedState w14:val="2610" w14:font="MS Gothic"/>
          </w14:checkbox>
        </w:sdtPr>
        <w:sdtEndPr/>
        <w:sdtContent>
          <w:r w:rsidR="001A78E5">
            <w:rPr>
              <w:rFonts w:ascii="MS Gothic" w:eastAsia="MS Gothic" w:hAnsi="MS Gothic" w:cstheme="minorHAnsi" w:hint="eastAsia"/>
              <w:sz w:val="24"/>
            </w:rPr>
            <w:t>☐</w:t>
          </w:r>
        </w:sdtContent>
      </w:sdt>
      <w:r w:rsidR="001A78E5">
        <w:rPr>
          <w:rFonts w:cstheme="minorHAnsi"/>
          <w:sz w:val="24"/>
        </w:rPr>
        <w:t xml:space="preserve"> </w:t>
      </w:r>
      <w:r w:rsidR="002914CB" w:rsidRPr="004C6F1E">
        <w:rPr>
          <w:rFonts w:cstheme="minorHAnsi"/>
          <w:sz w:val="24"/>
        </w:rPr>
        <w:t>Yes</w:t>
      </w:r>
    </w:p>
    <w:p w:rsidR="002914CB" w:rsidRPr="004C6F1E" w:rsidRDefault="00062E71" w:rsidP="001A78E5">
      <w:pPr>
        <w:pStyle w:val="ListParagraph"/>
        <w:spacing w:line="276" w:lineRule="auto"/>
        <w:rPr>
          <w:rFonts w:cstheme="minorHAnsi"/>
          <w:sz w:val="24"/>
        </w:rPr>
      </w:pPr>
      <w:sdt>
        <w:sdtPr>
          <w:rPr>
            <w:rFonts w:cstheme="minorHAnsi"/>
            <w:sz w:val="24"/>
          </w:rPr>
          <w:id w:val="672928740"/>
          <w14:checkbox>
            <w14:checked w14:val="0"/>
            <w14:checkedState w14:val="2612" w14:font="MS Gothic"/>
            <w14:uncheckedState w14:val="2610" w14:font="MS Gothic"/>
          </w14:checkbox>
        </w:sdtPr>
        <w:sdtEndPr/>
        <w:sdtContent>
          <w:r w:rsidR="001A78E5">
            <w:rPr>
              <w:rFonts w:ascii="MS Gothic" w:eastAsia="MS Gothic" w:hAnsi="MS Gothic" w:cstheme="minorHAnsi" w:hint="eastAsia"/>
              <w:sz w:val="24"/>
            </w:rPr>
            <w:t>☐</w:t>
          </w:r>
        </w:sdtContent>
      </w:sdt>
      <w:r w:rsidR="001A78E5">
        <w:rPr>
          <w:rFonts w:cstheme="minorHAnsi"/>
          <w:sz w:val="24"/>
        </w:rPr>
        <w:t xml:space="preserve"> </w:t>
      </w:r>
      <w:r w:rsidR="002914CB" w:rsidRPr="004C6F1E">
        <w:rPr>
          <w:rFonts w:cstheme="minorHAnsi"/>
          <w:sz w:val="24"/>
        </w:rPr>
        <w:t xml:space="preserve">No </w:t>
      </w:r>
    </w:p>
    <w:p w:rsidR="00060E14" w:rsidRPr="004C6F1E" w:rsidRDefault="00062E71">
      <w:pPr>
        <w:rPr>
          <w:rFonts w:cstheme="minorHAnsi"/>
          <w:sz w:val="24"/>
        </w:rPr>
      </w:pPr>
    </w:p>
    <w:sectPr w:rsidR="00060E14" w:rsidRPr="004C6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71" w:rsidRDefault="00062E71" w:rsidP="002914CB">
      <w:r>
        <w:separator/>
      </w:r>
    </w:p>
  </w:endnote>
  <w:endnote w:type="continuationSeparator" w:id="0">
    <w:p w:rsidR="00062E71" w:rsidRDefault="00062E71"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71" w:rsidRDefault="00062E71" w:rsidP="002914CB">
      <w:r>
        <w:separator/>
      </w:r>
    </w:p>
  </w:footnote>
  <w:footnote w:type="continuationSeparator" w:id="0">
    <w:p w:rsidR="00062E71" w:rsidRDefault="00062E71" w:rsidP="0029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261776"/>
    <w:multiLevelType w:val="hybridMultilevel"/>
    <w:tmpl w:val="5D18D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CB"/>
    <w:rsid w:val="00010E0F"/>
    <w:rsid w:val="00062E71"/>
    <w:rsid w:val="000D05EF"/>
    <w:rsid w:val="001A78E5"/>
    <w:rsid w:val="001E71D0"/>
    <w:rsid w:val="002914CB"/>
    <w:rsid w:val="00384249"/>
    <w:rsid w:val="004C6F1E"/>
    <w:rsid w:val="00506B05"/>
    <w:rsid w:val="00595035"/>
    <w:rsid w:val="00687C37"/>
    <w:rsid w:val="00837F44"/>
    <w:rsid w:val="009F3773"/>
    <w:rsid w:val="00A377D0"/>
    <w:rsid w:val="00A51C29"/>
    <w:rsid w:val="00C173E0"/>
    <w:rsid w:val="00C6091B"/>
    <w:rsid w:val="00C9457A"/>
    <w:rsid w:val="00D55FC3"/>
    <w:rsid w:val="00E0363A"/>
    <w:rsid w:val="00E04BDB"/>
    <w:rsid w:val="00F4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and Scenic Rivers - Worksheet</dc:title>
  <dc:creator>HUD</dc:creator>
  <cp:lastModifiedBy>ITW</cp:lastModifiedBy>
  <cp:revision>12</cp:revision>
  <dcterms:created xsi:type="dcterms:W3CDTF">2013-09-25T17:23:00Z</dcterms:created>
  <dcterms:modified xsi:type="dcterms:W3CDTF">2015-08-27T00:23:00Z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-178826367</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