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D7CA1" w14:textId="00DB27AA" w:rsidR="007974F6" w:rsidRDefault="007974F6" w:rsidP="00B5538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D3CDF">
        <w:rPr>
          <w:b/>
          <w:bCs/>
          <w:sz w:val="34"/>
          <w:szCs w:val="34"/>
        </w:rPr>
        <w:t>Environmental Review</w:t>
      </w:r>
      <w:r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 xml:space="preserve">for </w:t>
      </w:r>
      <w:r>
        <w:rPr>
          <w:b/>
          <w:sz w:val="32"/>
          <w:szCs w:val="32"/>
        </w:rPr>
        <w:t>Continuum of Care (CoC)</w:t>
      </w:r>
    </w:p>
    <w:p w14:paraId="445E8384" w14:textId="3538D203" w:rsidR="007974F6" w:rsidRDefault="007974F6" w:rsidP="00B55389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Rental Assistance Project</w:t>
      </w:r>
      <w:r w:rsidRPr="00BD3CDF">
        <w:rPr>
          <w:b/>
          <w:sz w:val="32"/>
          <w:szCs w:val="32"/>
        </w:rPr>
        <w:t xml:space="preserve"> that is</w:t>
      </w:r>
      <w:r>
        <w:rPr>
          <w:b/>
          <w:sz w:val="32"/>
          <w:szCs w:val="32"/>
        </w:rPr>
        <w:t xml:space="preserve"> </w:t>
      </w:r>
    </w:p>
    <w:p w14:paraId="4D4A2E93" w14:textId="6B910FDF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  <w:r w:rsidR="007974F6">
        <w:rPr>
          <w:b/>
          <w:bCs/>
          <w:sz w:val="36"/>
          <w:szCs w:val="36"/>
        </w:rPr>
        <w:t xml:space="preserve"> (CENST)</w:t>
      </w:r>
    </w:p>
    <w:p w14:paraId="64743297" w14:textId="737D89E7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D62E1D">
        <w:rPr>
          <w:b/>
          <w:sz w:val="28"/>
          <w:szCs w:val="28"/>
        </w:rPr>
        <w:t>58.35(b)</w:t>
      </w:r>
    </w:p>
    <w:p w14:paraId="310338F8" w14:textId="77777777" w:rsidR="007974F6" w:rsidRDefault="007974F6" w:rsidP="007974F6">
      <w:pPr>
        <w:jc w:val="center"/>
        <w:rPr>
          <w:bCs/>
          <w:color w:val="FF0000"/>
          <w:sz w:val="22"/>
        </w:rPr>
      </w:pPr>
      <w:r w:rsidRPr="00BD0BD5">
        <w:rPr>
          <w:bCs/>
          <w:color w:val="FF0000"/>
          <w:sz w:val="22"/>
          <w:u w:val="single"/>
        </w:rPr>
        <w:t xml:space="preserve">This </w:t>
      </w:r>
      <w:r>
        <w:rPr>
          <w:bCs/>
          <w:color w:val="FF0000"/>
          <w:sz w:val="22"/>
          <w:u w:val="single"/>
        </w:rPr>
        <w:t>CoC CENST Format</w:t>
      </w:r>
      <w:r w:rsidRPr="00BD0BD5">
        <w:rPr>
          <w:bCs/>
          <w:color w:val="FF0000"/>
          <w:sz w:val="22"/>
          <w:u w:val="single"/>
        </w:rPr>
        <w:t xml:space="preserve"> is to be used </w:t>
      </w:r>
      <w:r w:rsidRPr="0052754A">
        <w:rPr>
          <w:b/>
          <w:bCs/>
          <w:color w:val="FF0000"/>
          <w:sz w:val="22"/>
          <w:u w:val="single"/>
        </w:rPr>
        <w:t>only</w:t>
      </w:r>
      <w:r w:rsidRPr="00BD0BD5">
        <w:rPr>
          <w:bCs/>
          <w:color w:val="FF0000"/>
          <w:sz w:val="22"/>
          <w:u w:val="single"/>
        </w:rPr>
        <w:t xml:space="preserve"> for </w:t>
      </w:r>
      <w:r w:rsidRPr="007974F6">
        <w:rPr>
          <w:b/>
          <w:bCs/>
          <w:color w:val="FF0000"/>
          <w:sz w:val="22"/>
          <w:u w:val="single"/>
        </w:rPr>
        <w:t>tenant-based</w:t>
      </w:r>
      <w:r>
        <w:rPr>
          <w:bCs/>
          <w:color w:val="FF0000"/>
          <w:sz w:val="22"/>
          <w:u w:val="single"/>
        </w:rPr>
        <w:t xml:space="preserve"> </w:t>
      </w:r>
      <w:r w:rsidRPr="00BD0BD5">
        <w:rPr>
          <w:bCs/>
          <w:color w:val="FF0000"/>
          <w:sz w:val="22"/>
          <w:u w:val="single"/>
        </w:rPr>
        <w:t xml:space="preserve">leasing or rental assistance activities </w:t>
      </w:r>
      <w:r>
        <w:rPr>
          <w:bCs/>
          <w:color w:val="FF0000"/>
          <w:sz w:val="22"/>
          <w:u w:val="single"/>
        </w:rPr>
        <w:t xml:space="preserve">without any associated repairs, rehabilitation, new construction, or other activities with physical impacts </w:t>
      </w:r>
      <w:r w:rsidRPr="00BD0BD5">
        <w:rPr>
          <w:bCs/>
          <w:color w:val="FF0000"/>
          <w:sz w:val="22"/>
          <w:u w:val="single"/>
        </w:rPr>
        <w:t>funded under the Continuum of Care (CoC) program</w:t>
      </w:r>
      <w:r>
        <w:rPr>
          <w:bCs/>
          <w:color w:val="FF0000"/>
          <w:sz w:val="22"/>
        </w:rPr>
        <w:t xml:space="preserve">. </w:t>
      </w:r>
    </w:p>
    <w:p w14:paraId="4A31D87F" w14:textId="77777777" w:rsidR="007974F6" w:rsidRDefault="007974F6" w:rsidP="007974F6">
      <w:pPr>
        <w:jc w:val="center"/>
        <w:rPr>
          <w:bCs/>
          <w:color w:val="FF0000"/>
          <w:sz w:val="22"/>
        </w:rPr>
      </w:pPr>
    </w:p>
    <w:p w14:paraId="4548B51C" w14:textId="11AA37F8" w:rsidR="007974F6" w:rsidRPr="007974F6" w:rsidRDefault="007974F6" w:rsidP="007974F6">
      <w:pPr>
        <w:jc w:val="center"/>
        <w:rPr>
          <w:bCs/>
          <w:color w:val="FF0000"/>
          <w:sz w:val="22"/>
        </w:rPr>
      </w:pPr>
      <w:r>
        <w:rPr>
          <w:bCs/>
          <w:color w:val="FF0000"/>
          <w:sz w:val="22"/>
        </w:rPr>
        <w:t xml:space="preserve">This format </w:t>
      </w:r>
      <w:r>
        <w:rPr>
          <w:bCs/>
          <w:color w:val="FF0000"/>
          <w:sz w:val="22"/>
          <w:u w:val="single"/>
        </w:rPr>
        <w:t>may</w:t>
      </w:r>
      <w:r>
        <w:rPr>
          <w:bCs/>
          <w:color w:val="FF0000"/>
          <w:sz w:val="22"/>
        </w:rPr>
        <w:t xml:space="preserve"> be used to review a single unit, but Responsible Entities are encouraged to use it to conduct a “programmatic” environmental review covering all tenant-based units within the CoC.</w:t>
      </w:r>
    </w:p>
    <w:p w14:paraId="1158CC1E" w14:textId="77777777" w:rsidR="007974F6" w:rsidRDefault="007974F6" w:rsidP="007974F6">
      <w:pPr>
        <w:jc w:val="center"/>
        <w:rPr>
          <w:bCs/>
          <w:color w:val="FF0000"/>
          <w:sz w:val="22"/>
        </w:rPr>
      </w:pPr>
    </w:p>
    <w:p w14:paraId="64743299" w14:textId="39C2C6DD" w:rsidR="007F0094" w:rsidRDefault="007974F6" w:rsidP="007974F6">
      <w:pPr>
        <w:jc w:val="center"/>
      </w:pPr>
      <w:r>
        <w:rPr>
          <w:bCs/>
          <w:color w:val="FF0000"/>
          <w:sz w:val="22"/>
        </w:rPr>
        <w:t>Certain fields have been completed already based on the specifics of these program activities. It is the Responsible Entity’s responsibility to e</w:t>
      </w:r>
      <w:r w:rsidR="00840FBE">
        <w:rPr>
          <w:bCs/>
          <w:color w:val="FF0000"/>
          <w:sz w:val="22"/>
        </w:rPr>
        <w:t xml:space="preserve">nsure that all required fields </w:t>
      </w:r>
      <w:r>
        <w:rPr>
          <w:bCs/>
          <w:color w:val="FF0000"/>
          <w:sz w:val="22"/>
        </w:rPr>
        <w:t>and analysis are completed.</w:t>
      </w:r>
      <w:r w:rsidR="00840FBE">
        <w:rPr>
          <w:bCs/>
          <w:color w:val="FF0000"/>
          <w:sz w:val="22"/>
        </w:rPr>
        <w:t xml:space="preserve"> Note that text in red is meant as instructions for the Responsible Entity and may be deleted as the review is completed.</w:t>
      </w: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779312CE" w14:textId="383CF66E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  <w:r w:rsidR="00840FBE">
        <w:rPr>
          <w:b/>
        </w:rPr>
        <w:t xml:space="preserve"> </w:t>
      </w:r>
      <w:r w:rsidR="00840FBE" w:rsidRPr="00840FBE">
        <w:rPr>
          <w:color w:val="FF0000"/>
        </w:rPr>
        <w:t xml:space="preserve">[This </w:t>
      </w:r>
      <w:r w:rsidR="00840FBE">
        <w:rPr>
          <w:color w:val="FF0000"/>
        </w:rPr>
        <w:t>review may cover the full range of the CoC or any subset of the CoC that is found appropriate by the Responsible Entity.]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lastRenderedPageBreak/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6E275E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6E275E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1B3B2FDF" w:rsidR="00C15F21" w:rsidRDefault="007974F6">
            <w:r>
              <w:t>Continuum of Care (CoC)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E275E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E275E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0563A932" w:rsidR="00227CD2" w:rsidRPr="00BE2B90" w:rsidRDefault="007974F6" w:rsidP="007974F6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This project consists only of rental assistance and is in compliance with HUD’s Airport Hazard regulations without further evaluation.</w:t>
            </w: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E275E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E275E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2CDC835" w14:textId="4887C459" w:rsidR="005A705D" w:rsidRDefault="005A705D" w:rsidP="005A705D">
            <w:pPr>
              <w:tabs>
                <w:tab w:val="left" w:pos="0"/>
              </w:tabs>
              <w:suppressAutoHyphens/>
              <w:spacing w:before="90" w:after="54"/>
              <w:rPr>
                <w:color w:val="FF0000"/>
              </w:rPr>
            </w:pPr>
            <w:r>
              <w:rPr>
                <w:color w:val="FF0000"/>
              </w:rPr>
              <w:t xml:space="preserve">Choose </w:t>
            </w:r>
            <w:r>
              <w:rPr>
                <w:b/>
                <w:color w:val="FF0000"/>
              </w:rPr>
              <w:t xml:space="preserve">one </w:t>
            </w:r>
            <w:r>
              <w:rPr>
                <w:color w:val="FF0000"/>
              </w:rPr>
              <w:t>of the following compliance determinations based on the location of the project:</w:t>
            </w:r>
          </w:p>
          <w:p w14:paraId="1B8468E5" w14:textId="4DC0CF5E" w:rsidR="005A705D" w:rsidRDefault="005A705D" w:rsidP="005A705D">
            <w:pPr>
              <w:tabs>
                <w:tab w:val="left" w:pos="0"/>
              </w:tabs>
              <w:suppressAutoHyphens/>
              <w:spacing w:before="90" w:after="54"/>
              <w:rPr>
                <w:color w:val="FF0000"/>
              </w:rPr>
            </w:pPr>
          </w:p>
          <w:p w14:paraId="6D6B5872" w14:textId="735DC464" w:rsidR="005A705D" w:rsidRPr="000A32E4" w:rsidRDefault="005A705D" w:rsidP="005A705D">
            <w:pPr>
              <w:tabs>
                <w:tab w:val="left" w:pos="0"/>
              </w:tabs>
              <w:suppressAutoHyphens/>
              <w:spacing w:before="90" w:after="54"/>
              <w:rPr>
                <w:i/>
              </w:rPr>
            </w:pPr>
            <w:r w:rsidRPr="000A32E4">
              <w:rPr>
                <w:i/>
                <w:color w:val="FF0000"/>
              </w:rPr>
              <w:t xml:space="preserve">If the project is (1) in AL, CN, DE, FL, GA, LA, ME, MD, MA, MI, MS, MN, NJ, NY, NC, OH, PR, RI, SC, TX, VI, VA, or WI </w:t>
            </w:r>
            <w:r w:rsidRPr="000A32E4">
              <w:rPr>
                <w:b/>
                <w:i/>
                <w:color w:val="FF0000"/>
              </w:rPr>
              <w:t xml:space="preserve">and </w:t>
            </w:r>
            <w:r w:rsidRPr="000A32E4">
              <w:rPr>
                <w:i/>
                <w:color w:val="FF0000"/>
              </w:rPr>
              <w:t>(2) the CoC includes one or more coastal counties:</w:t>
            </w:r>
          </w:p>
          <w:p w14:paraId="64B5F7BC" w14:textId="77777777" w:rsidR="00227CD2" w:rsidRDefault="005A705D" w:rsidP="000A32E4">
            <w:pPr>
              <w:tabs>
                <w:tab w:val="left" w:pos="0"/>
              </w:tabs>
              <w:suppressAutoHyphens/>
              <w:spacing w:before="90" w:after="54"/>
            </w:pPr>
            <w:r>
              <w:t>No units may be rented within a Coastal Barrier Resource</w:t>
            </w:r>
            <w:r w:rsidR="000A32E4">
              <w:t xml:space="preserve"> Unit</w:t>
            </w:r>
            <w:r>
              <w:t xml:space="preserve">. Each unit </w:t>
            </w:r>
            <w:r w:rsidR="000A32E4">
              <w:t>located in a coastal county</w:t>
            </w:r>
            <w:r>
              <w:t xml:space="preserve"> will be checked against the </w:t>
            </w:r>
            <w:hyperlink r:id="rId13" w:history="1">
              <w:r w:rsidRPr="000A32E4">
                <w:rPr>
                  <w:rStyle w:val="Hyperlink"/>
                </w:rPr>
                <w:t xml:space="preserve">US Fish and Wildlife Service’s Coastal Barrier </w:t>
              </w:r>
              <w:r w:rsidR="000A32E4" w:rsidRPr="000A32E4">
                <w:rPr>
                  <w:rStyle w:val="Hyperlink"/>
                </w:rPr>
                <w:t>Resource System Mapper</w:t>
              </w:r>
            </w:hyperlink>
            <w:r w:rsidR="000A32E4">
              <w:t xml:space="preserve"> to ensure that no units are rented in Coastal Barrier</w:t>
            </w:r>
            <w:r>
              <w:t xml:space="preserve"> </w:t>
            </w:r>
            <w:r w:rsidR="000A32E4">
              <w:t xml:space="preserve">Resource Units. </w:t>
            </w:r>
          </w:p>
          <w:p w14:paraId="390CBE95" w14:textId="77777777" w:rsidR="000A32E4" w:rsidRDefault="000A32E4" w:rsidP="000A32E4">
            <w:pPr>
              <w:tabs>
                <w:tab w:val="left" w:pos="0"/>
              </w:tabs>
              <w:suppressAutoHyphens/>
              <w:spacing w:before="90" w:after="54"/>
            </w:pPr>
          </w:p>
          <w:p w14:paraId="7D211E5E" w14:textId="6358B35E" w:rsidR="000A32E4" w:rsidRPr="000A32E4" w:rsidRDefault="000A32E4" w:rsidP="000A32E4">
            <w:pPr>
              <w:tabs>
                <w:tab w:val="left" w:pos="0"/>
              </w:tabs>
              <w:suppressAutoHyphens/>
              <w:spacing w:before="90" w:after="54"/>
              <w:rPr>
                <w:i/>
              </w:rPr>
            </w:pPr>
            <w:r w:rsidRPr="000A32E4">
              <w:rPr>
                <w:i/>
                <w:color w:val="FF0000"/>
              </w:rPr>
              <w:t xml:space="preserve">If the project is (1) in located in one of the above-listed states </w:t>
            </w:r>
            <w:r w:rsidRPr="000A32E4">
              <w:rPr>
                <w:b/>
                <w:i/>
                <w:color w:val="FF0000"/>
              </w:rPr>
              <w:t xml:space="preserve">and </w:t>
            </w:r>
            <w:r w:rsidRPr="000A32E4">
              <w:rPr>
                <w:i/>
                <w:color w:val="FF0000"/>
              </w:rPr>
              <w:t>(2) the CoC does not include any coastal counties:</w:t>
            </w:r>
          </w:p>
          <w:p w14:paraId="3819F9C4" w14:textId="77777777" w:rsidR="000A32E4" w:rsidRDefault="000A32E4" w:rsidP="000A32E4">
            <w:pPr>
              <w:tabs>
                <w:tab w:val="left" w:pos="0"/>
              </w:tabs>
              <w:suppressAutoHyphens/>
              <w:spacing w:before="90" w:after="54"/>
              <w:rPr>
                <w:i/>
              </w:rPr>
            </w:pPr>
            <w:r>
              <w:t xml:space="preserve">This project is in compliance with the Coastal Barrier Resources Act because the CoC area does not include any Coastal Barrier Resources. </w:t>
            </w:r>
            <w:r>
              <w:rPr>
                <w:i/>
              </w:rPr>
              <w:t xml:space="preserve">See attached map demonstrating that no projects covered under this review are located within a coastal county or Coastal Barrier Resource Unit. </w:t>
            </w:r>
          </w:p>
          <w:p w14:paraId="6EB31338" w14:textId="77777777" w:rsidR="000A32E4" w:rsidRDefault="000A32E4" w:rsidP="000A32E4">
            <w:pPr>
              <w:tabs>
                <w:tab w:val="left" w:pos="0"/>
              </w:tabs>
              <w:suppressAutoHyphens/>
              <w:spacing w:before="90" w:after="54"/>
              <w:rPr>
                <w:i/>
              </w:rPr>
            </w:pPr>
          </w:p>
          <w:p w14:paraId="2E4D696F" w14:textId="5A15DFF0" w:rsidR="000A32E4" w:rsidRPr="000A32E4" w:rsidRDefault="000A32E4" w:rsidP="000A32E4">
            <w:pPr>
              <w:tabs>
                <w:tab w:val="left" w:pos="0"/>
              </w:tabs>
              <w:suppressAutoHyphens/>
              <w:spacing w:before="90" w:after="54"/>
              <w:rPr>
                <w:i/>
              </w:rPr>
            </w:pPr>
            <w:r w:rsidRPr="000A32E4">
              <w:rPr>
                <w:i/>
                <w:color w:val="FF0000"/>
              </w:rPr>
              <w:t>If the project is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 xml:space="preserve">not </w:t>
            </w:r>
            <w:r>
              <w:rPr>
                <w:i/>
                <w:color w:val="FF0000"/>
              </w:rPr>
              <w:t xml:space="preserve">located in one of above-listed states: </w:t>
            </w:r>
          </w:p>
          <w:p w14:paraId="4FBF79C9" w14:textId="53045D24" w:rsidR="000A32E4" w:rsidRPr="000A32E4" w:rsidRDefault="000A32E4" w:rsidP="000A32E4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t xml:space="preserve">This project is in compliance with the Coastal Barrier Resources Act because the CoC area is in a state that does not include any Coastal Barrier Resources. </w:t>
            </w: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E275E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E275E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4BB31B5D" w:rsidR="00227CD2" w:rsidRPr="00BE2B90" w:rsidRDefault="007974F6" w:rsidP="007974F6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9A33E6">
              <w:t xml:space="preserve">This project consists only of </w:t>
            </w:r>
            <w:r>
              <w:t>rental assistance, and therefore flood insurance is recommended but not required. The project is in compliance with the National Flood Insurance Program</w:t>
            </w:r>
            <w:r w:rsidRPr="009A33E6">
              <w:t xml:space="preserve"> without further evaluation.</w:t>
            </w: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14A64" w14:textId="77777777" w:rsidR="006E275E" w:rsidRDefault="006E275E">
      <w:r>
        <w:separator/>
      </w:r>
    </w:p>
  </w:endnote>
  <w:endnote w:type="continuationSeparator" w:id="0">
    <w:p w14:paraId="5E072FED" w14:textId="77777777" w:rsidR="006E275E" w:rsidRDefault="006E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F4CB97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417A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417A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6AD3AA6B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E27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E27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1BDAD" w14:textId="77777777" w:rsidR="006E275E" w:rsidRDefault="006E275E">
      <w:r>
        <w:separator/>
      </w:r>
    </w:p>
  </w:footnote>
  <w:footnote w:type="continuationSeparator" w:id="0">
    <w:p w14:paraId="09440301" w14:textId="77777777" w:rsidR="006E275E" w:rsidRDefault="006E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28EA" w14:textId="77910BA0" w:rsidR="007974F6" w:rsidRPr="007974F6" w:rsidRDefault="007974F6" w:rsidP="007974F6">
    <w:pPr>
      <w:jc w:val="center"/>
      <w:rPr>
        <w:bCs/>
        <w:color w:val="FF0000"/>
        <w:sz w:val="22"/>
      </w:rPr>
    </w:pPr>
    <w:r w:rsidRPr="007974F6">
      <w:rPr>
        <w:bCs/>
        <w:color w:val="FF0000"/>
        <w:sz w:val="22"/>
      </w:rPr>
      <w:t xml:space="preserve">This format is to be used for </w:t>
    </w:r>
    <w:r w:rsidRPr="007974F6">
      <w:rPr>
        <w:b/>
        <w:bCs/>
        <w:color w:val="FF0000"/>
        <w:sz w:val="22"/>
        <w:u w:val="single"/>
      </w:rPr>
      <w:t>tenant-based</w:t>
    </w:r>
    <w:r w:rsidRPr="007974F6">
      <w:rPr>
        <w:bCs/>
        <w:color w:val="FF0000"/>
        <w:sz w:val="22"/>
      </w:rPr>
      <w:t xml:space="preserve"> leasing or rental assistance activities funded under the Continuum of Care (CoC) program only. 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2E4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A705D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275E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4F6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40FBE"/>
    <w:rsid w:val="008417A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43291"/>
  <w15:docId w15:val="{9E684DBD-67B6-4180-8347-64C97830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fws.gov/ecological-services/habitat-conservation/cbra/Maps/Mapper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0536F-6AB4-4FB2-9E70-E5259CBA40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2EB73C-4188-46D0-A973-9255D2AFD9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31800AC-1D9E-409A-A832-33131E5B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Tenant-Based CENST Format</dc:title>
  <dc:creator>HUD</dc:creator>
  <cp:lastModifiedBy>McNutt, Stephanie</cp:lastModifiedBy>
  <cp:revision>2</cp:revision>
  <cp:lastPrinted>2012-02-14T21:10:00Z</cp:lastPrinted>
  <dcterms:created xsi:type="dcterms:W3CDTF">2016-10-07T18:10:00Z</dcterms:created>
  <dcterms:modified xsi:type="dcterms:W3CDTF">2016-10-07T18:10:00Z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0x010100C2BC49877A1885458F4583A94F824A33</vt:lpwstr>
  </property>
</Properties>
</file>