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8e02ba8c" w14:textId="8e02ba8c">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PY45-Handyman-Program</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900000010109040</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FAIRFIELD, 725 Old Post Rd Fairfield CT, 06824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Sonia C Hine</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Mark S Barnhart</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Fairfield, CT 06284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Town wide</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This Project will fund the labor cost associated with minor home repairs involving up to 8 hours of work for low and very low income homeowners here in the Town of Fairfield, CT. The homeowner is responsible for covering the cost of all materials needed in order for work to be performed. Eligible activities include: minor plumbing (unclogging drains, repairing leaking faucets, replacing fixtures), electrical (installing switches and outlets, repairing fixtures), and masonry repairs (patching walkways, loose bricks), light carpentry work (repairing/installing wooden railings, steps, window sill etc to correct wood rot, water or insect damage) gutter maintenance (cleaning and alignment). ** Even though this is done as a Tiered Review, we will not be reporting on each individual household we help. These jobs are very small and never cost more than $650 dollars each.**</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1 Year</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100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B19MC090002</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$16,000.00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$16,000.00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 each individual homeowner's address. Some homes within the Town of Fairfield are in the Flood Zone and require Flood Insurance. This is determined during the Statutory Checklist and reviewing FEMA Maps.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Per each individual home's address and location within the Town of Fairfield.</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 </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Airport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No Civilian or Military airfields within or near the Town of Fairfield.</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Coastal Barrier Resources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CBRA Mapper.</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Air Quality</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CTDEP/State Implementation Plan.</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Coastal Zone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TPZ Coastal Zone Boundary Map</w:t>
            </w:r>
          </w:p>
        </w:tc>
      </w:tr>
      <w:tr>
        <w:trPr>
          <w:cantSplit w:val="true"/>
        </w:trPr>
        <w:tc>
          <w:tcPr>
            <w:vMerge w:val="restart"/>
          </w:tcPr>
          <w:p>
            <w:r>
              <w:rPr>
                <w:b w:val="true"/>
              </w:rPr>
              <w:t>5</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USAPA CERCLIS database.</w:t>
            </w:r>
          </w:p>
        </w:tc>
      </w:tr>
      <w:tr>
        <w:trPr>
          <w:cantSplit w:val="true"/>
        </w:trPr>
        <w:tc>
          <w:tcPr>
            <w:vMerge w:val="restart"/>
          </w:tcPr>
          <w:p>
            <w:r>
              <w:rPr>
                <w:b w:val="true"/>
              </w:rPr>
              <w:t>6</w:t>
            </w:r>
          </w:p>
        </w:tc>
        <w:tc>
          <w:p>
            <w:pPr>
              <w:keepNext w:val="true"/>
              <w:spacing w:after="0"/>
              <w:rPr>
                <w:rFonts w:ascii="Calibri" w:hAnsi="Calibri"/>
                <w:b/>
                <w:u w:val="single"/>
              </w:rPr>
            </w:pPr>
          </w:p>
        </w:tc>
        <w:tc>
          <w:p>
            <w:pPr>
              <w:spacing w:after="0"/>
            </w:pPr>
            <w:r>
              <w:rPr>
                <w:rFonts w:ascii="Calibri" w:hAnsi="Calibri"/>
                <w:color w:val="000000"/>
                <w:sz w:val="22"/>
              </w:rPr>
              <w:t xml:space="preserve">Endangered Species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CTDEP, Listed Species and significant Natural Communities.</w:t>
            </w:r>
          </w:p>
        </w:tc>
      </w:tr>
      <w:tr>
        <w:trPr>
          <w:cantSplit w:val="true"/>
        </w:trPr>
        <w:tc>
          <w:tcPr>
            <w:vMerge w:val="restart"/>
          </w:tcPr>
          <w:p>
            <w:r>
              <w:rPr>
                <w:b w:val="true"/>
              </w:rPr>
              <w:t>7</w:t>
            </w:r>
          </w:p>
        </w:tc>
        <w:tc>
          <w:p>
            <w:pPr>
              <w:keepNext w:val="true"/>
              <w:spacing w:after="0"/>
              <w:rPr>
                <w:rFonts w:ascii="Calibri" w:hAnsi="Calibri"/>
                <w:b/>
                <w:u w:val="single"/>
              </w:rPr>
            </w:pPr>
          </w:p>
        </w:tc>
        <w:tc>
          <w:p>
            <w:pPr>
              <w:spacing w:after="0"/>
            </w:pPr>
            <w:r>
              <w:rPr>
                <w:rFonts w:ascii="Calibri" w:hAnsi="Calibri"/>
                <w:color w:val="000000"/>
                <w:sz w:val="22"/>
              </w:rPr>
              <w:t xml:space="preserve">Explosive and Flammable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Town of Fairfield Fire Department.</w:t>
            </w:r>
          </w:p>
        </w:tc>
      </w:tr>
      <w:tr>
        <w:trPr>
          <w:cantSplit w:val="true"/>
        </w:trPr>
        <w:tc>
          <w:tcPr>
            <w:vMerge w:val="restart"/>
          </w:tcPr>
          <w:p>
            <w:r>
              <w:rPr>
                <w:b w:val="true"/>
              </w:rPr>
              <w:t>8</w:t>
            </w:r>
          </w:p>
        </w:tc>
        <w:tc>
          <w:p>
            <w:pPr>
              <w:keepNext w:val="true"/>
              <w:spacing w:after="0"/>
              <w:rPr>
                <w:rFonts w:ascii="Calibri" w:hAnsi="Calibri"/>
                <w:b/>
                <w:u w:val="single"/>
              </w:rPr>
            </w:pPr>
          </w:p>
        </w:tc>
        <w:tc>
          <w:p>
            <w:pPr>
              <w:spacing w:after="0"/>
            </w:pPr>
            <w:r>
              <w:rPr>
                <w:rFonts w:ascii="Calibri" w:hAnsi="Calibri"/>
                <w:color w:val="000000"/>
                <w:sz w:val="22"/>
              </w:rPr>
              <w:t xml:space="preserve">Farmlands Protection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No farmlands within Fairfield per USDA./NDCS List of Prime/Unique Farmland for CT.</w:t>
            </w:r>
          </w:p>
        </w:tc>
      </w:tr>
      <w:tr>
        <w:trPr>
          <w:cantSplit w:val="true"/>
        </w:trPr>
        <w:tc>
          <w:tcPr>
            <w:vMerge w:val="restart"/>
          </w:tcPr>
          <w:p>
            <w:r>
              <w:rPr>
                <w:b w:val="true"/>
              </w:rPr>
              <w:t>9</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applications per FEMA Maps.</w:t>
            </w:r>
          </w:p>
        </w:tc>
      </w:tr>
      <w:tr>
        <w:trPr>
          <w:cantSplit w:val="true"/>
        </w:trPr>
        <w:tc>
          <w:tcPr>
            <w:vMerge w:val="restart"/>
          </w:tcPr>
          <w:p>
            <w:r>
              <w:rPr>
                <w:b w:val="true"/>
              </w:rPr>
              <w:t>10</w:t>
            </w:r>
          </w:p>
        </w:tc>
        <w:tc>
          <w:p>
            <w:pPr>
              <w:keepNext w:val="true"/>
              <w:spacing w:after="0"/>
              <w:rPr>
                <w:rFonts w:ascii="Calibri" w:hAnsi="Calibri"/>
                <w:b/>
                <w:u w:val="single"/>
              </w:rPr>
            </w:pPr>
          </w:p>
        </w:tc>
        <w:tc>
          <w:p>
            <w:pPr>
              <w:spacing w:after="0"/>
            </w:pPr>
            <w:r>
              <w:rPr>
                <w:rFonts w:ascii="Calibri" w:hAnsi="Calibri"/>
                <w:color w:val="000000"/>
                <w:sz w:val="22"/>
              </w:rPr>
              <w:t xml:space="preserve">Noise Abatement and Control</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HUD Noise Guidebook, TPZ Plan of Development.</w:t>
            </w:r>
          </w:p>
        </w:tc>
      </w:tr>
      <w:tr>
        <w:trPr>
          <w:cantSplit w:val="true"/>
        </w:trPr>
        <w:tc>
          <w:tcPr>
            <w:vMerge w:val="restart"/>
          </w:tcPr>
          <w:p>
            <w:r>
              <w:rPr>
                <w:b w:val="true"/>
              </w:rPr>
              <w:t>11</w:t>
            </w:r>
          </w:p>
        </w:tc>
        <w:tc>
          <w:p>
            <w:pPr>
              <w:keepNext w:val="true"/>
              <w:spacing w:after="0"/>
              <w:rPr>
                <w:rFonts w:ascii="Calibri" w:hAnsi="Calibri"/>
                <w:b/>
                <w:u w:val="single"/>
              </w:rPr>
            </w:pPr>
          </w:p>
        </w:tc>
        <w:tc>
          <w:p>
            <w:pPr>
              <w:spacing w:after="0"/>
            </w:pPr>
            <w:r>
              <w:rPr>
                <w:rFonts w:ascii="Calibri" w:hAnsi="Calibri"/>
                <w:color w:val="000000"/>
                <w:sz w:val="22"/>
              </w:rPr>
              <w:t xml:space="preserve">Sole Source Aquifers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No Sole Aquifers within Fairfield per USEPA Region 1.</w:t>
            </w:r>
          </w:p>
        </w:tc>
      </w:tr>
      <w:tr>
        <w:trPr>
          <w:cantSplit w:val="true"/>
        </w:trPr>
        <w:tc>
          <w:tcPr>
            <w:vMerge w:val="restart"/>
          </w:tcPr>
          <w:p>
            <w:r>
              <w:rPr>
                <w:b w:val="true"/>
              </w:rPr>
              <w:t>12</w:t>
            </w:r>
          </w:p>
        </w:tc>
        <w:tc>
          <w:p>
            <w:pPr>
              <w:keepNext w:val="true"/>
              <w:spacing w:after="0"/>
              <w:rPr>
                <w:rFonts w:ascii="Calibri" w:hAnsi="Calibri"/>
                <w:b/>
                <w:u w:val="single"/>
              </w:rPr>
            </w:pPr>
          </w:p>
        </w:tc>
        <w:tc>
          <w:p>
            <w:pPr>
              <w:spacing w:after="0"/>
            </w:pPr>
            <w:r>
              <w:rPr>
                <w:rFonts w:ascii="Calibri" w:hAnsi="Calibri"/>
                <w:color w:val="000000"/>
                <w:sz w:val="22"/>
              </w:rPr>
              <w:t xml:space="preserve">Wetlands Protection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Determination to be made upon application per USFWS Wetland Inventory Mapping.</w:t>
            </w:r>
          </w:p>
        </w:tc>
      </w:tr>
      <w:tr>
        <w:trPr>
          <w:cantSplit w:val="true"/>
        </w:trPr>
        <w:tc>
          <w:tcPr>
            <w:vMerge w:val="restart"/>
          </w:tcPr>
          <w:p>
            <w:r>
              <w:rPr>
                <w:b w:val="true"/>
              </w:rPr>
              <w:t>13</w:t>
            </w:r>
          </w:p>
        </w:tc>
        <w:tc>
          <w:p>
            <w:pPr>
              <w:keepNext w:val="true"/>
              <w:spacing w:after="0"/>
              <w:rPr>
                <w:rFonts w:ascii="Calibri" w:hAnsi="Calibri"/>
                <w:b/>
                <w:u w:val="single"/>
              </w:rPr>
            </w:pPr>
          </w:p>
        </w:tc>
        <w:tc>
          <w:p>
            <w:pPr>
              <w:spacing w:after="0"/>
            </w:pPr>
            <w:r>
              <w:rPr>
                <w:rFonts w:ascii="Calibri" w:hAnsi="Calibri"/>
                <w:color w:val="000000"/>
                <w:sz w:val="22"/>
              </w:rPr>
              <w:t xml:space="preserve">Wild and Scenic Rivers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No designated Wild and Scenic Rivers within Fairfield per National Park Service.</w:t>
            </w:r>
          </w:p>
        </w:tc>
      </w:tr>
      <w:tr>
        <w:trPr>
          <w:cantSplit w:val="true"/>
        </w:trPr>
        <w:tc>
          <w:tcPr>
            <w:vMerge w:val="restart"/>
          </w:tcPr>
          <w:p>
            <w:r>
              <w:rPr>
                <w:b w:val="true"/>
              </w:rPr>
              <w:t>14</w:t>
            </w:r>
          </w:p>
        </w:tc>
        <w:tc>
          <w:p>
            <w:pPr>
              <w:keepNext w:val="true"/>
              <w:spacing w:after="0"/>
              <w:rPr>
                <w:rFonts w:ascii="Calibri" w:hAnsi="Calibri"/>
                <w:b/>
                <w:u w:val="single"/>
              </w:rPr>
            </w:pPr>
          </w:p>
        </w:tc>
        <w:tc>
          <w:p>
            <w:pPr>
              <w:spacing w:after="0"/>
            </w:pPr>
            <w:r>
              <w:rPr>
                <w:rFonts w:ascii="Calibri" w:hAnsi="Calibri"/>
                <w:color w:val="000000"/>
                <w:sz w:val="22"/>
              </w:rPr>
              <w:t xml:space="preserve">Environmental Justice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N/A</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11/08/2019 13:20</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PY45-Handyman-Program</w:t>
          </w:r>
        </w:p>
      </w:tc>
      <w:tc>
        <w:tcPr>
          <w:tcW w:w="3192" w:type="dxa"/>
        </w:tcPr>
        <w:p>
          <w:pPr>
            <w:pStyle w:val="Footer"/>
            <w:jc w:val="center"/>
          </w:pPr>
          <w:r>
            <w:t>Fairfield, CT</w:t>
          </w:r>
        </w:p>
      </w:tc>
      <w:tc>
        <w:tcPr>
          <w:tcW w:w="3192" w:type="dxa"/>
        </w:tcPr>
        <w:p>
          <w:pPr>
            <w:pStyle w:val="Footer"/>
            <w:jc w:val="right"/>
          </w:pPr>
          <w:r>
            <w:t>900000010109040</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