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add652c9" w14:textId="add652c9">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2019/20-Home-Energry-Retrofit-Program</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900000010108203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HOLLAND, 270 S River Ave Holland MI, 49423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Mark Kornelis</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Holland, MI 49423</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N/A</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pPr>
              <w:spacing w:beforeAutospacing="true" w:afterAutospacing="true"/>
            </w:pPr>
            <w:r>
              <w:rPr/>
              <w:t xml:space="preserve">City of Holland</w:t>
            </w:r>
            <w:r>
              <w:rPr/>
              <w:br/>
              <w:t xml:space="preserve"/>
            </w:r>
            <w:r>
              <w:rPr/>
              <w:t xml:space="preserve">Community &amp; Neighborhood Services</w:t>
            </w:r>
            <w:r>
              <w:rPr/>
              <w:br/>
              <w:t xml:space="preserve"/>
            </w:r>
            <w:r>
              <w:rPr/>
              <w:t xml:space="preserve">270 S River Ave</w:t>
            </w:r>
            <w:r>
              <w:rPr/>
              <w:br/>
              <w:t xml:space="preserve"/>
            </w:r>
            <w:r>
              <w:rPr/>
              <w:t xml:space="preserve">Holland, MI 49423</w:t>
            </w:r>
            <w:r>
              <w:rPr/>
              <w:br/>
              <w:t xml:space="preserve"/>
            </w:r>
            <w:r>
              <w:rPr/>
              <w:br/>
              <w:t xml:space="preserve"/>
            </w:r>
            <w:r>
              <w:rPr/>
              <w:t xml:space="preserve">Or, m.kornelis@cityofholland.com</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The City of Holland will partner with participating low-income home owners to undertake energy efficiency improvements to increase comfort, healthy living environments, and reduce energy costs. The project will be available city-wide. Maximum grant will be $5,000. Homeowners will contribute to the project on a sliding scale, a minimum of 10% owner contribution is expected.</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hyperlink r:id="rId13">
        <w:r>
          <w:rPr>
            <w:rStyle w:val="Hyperlink"/>
          </w:rPr>
          <w:t>City of Holland Map.pdf</w:t>
        </w:r>
      </w:hyperlink>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5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10</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4">
        <w:r>
          <w:rPr>
            <w:rStyle w:val="Hyperlink"/>
          </w:rPr>
          <w:t>A - ER Summary - HERP.pdf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B-19-MC-26-0036</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$30,000.00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$50,000.00</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according to the definition found in 24 CFR Subpart D, 51.301 definition of military and civilian airports. The City of Holland is over 35 miles to the closest civilian/commercial service airport (located in Grand Rapids, MI), and is several hundred miles away from the closest military airport (located in Grayling, MI), based on the definitions from the FAA website.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City of Holland is not located within the Coastal Barrier Resource System.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does not include new construction or conversion of land use facilitating the development of public, commercial, or industrial facilities OR five or more dwelling units. 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Ottawa County portion of the City of Holland is located partially within a Coastal Zone Management Area. City staff has consulted with Christopher Antieau of the Department of Environmental Quality who reviewed our program and determined it is consistent with Michigan's Coastal Management Program, and that site specific permits to determine consistency are generally not required. See attached letter.</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On-site or nearby toxic, hazardous, or radioactive substances that could affect the health and safety of project occupants or conflict with the intended use of the property were not found. No EPA sites are listed in the City of Holland. The project is in compliance with contamination and toxic substances requirements. The City will not acquire property with the Home Repair/Home Energy Retrofit Program. The projects will involve existing residential property.</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does not involve any of the following activities: development, construction, or rehabilitation that will increase residential densities, or conversion. This project will have no effect on listed species due to the nature of the activities involved in the project. Repairs will be made on existing homes. No habitat will be disturbed.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does not involve development, construction or rehabilitation that will increase residential densities. The project does not contain conversion.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Minor repairs on one to four family properties do not meet the thresholds for substantial improvements under 55.2. This project is in compliance with Floodplain Management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 noise level calculation is not required for modernization and housing rehabilitation projects. The City of Holland has established standards for windows, doors, and insulation. These standards include double pane, low e, argon filled windows. New doors must have weather stripping and insulation must meet code. The project involves modernization or minor rehabilitation of an existing residential property. Noise attenuation is encouraged. The project will include standardized noise attenuation measures if features are modernized. The project is in compliance with HUD's Noise regulation.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sole source aquifers in the state of Michigan.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northern limits of the City contain the Black River Marsh (AKA Macatawa River Marsh) which is a wetland. The Department of Natural Resources has completed wetland mapping under the National Wetland Inventory Act. Executive Order 11990, Protection of Wetlands, May 24, 1977 and Michigan Law - the Wetland Protection Act, Public Act 203 of 1979 requires a permit for disposition of fill, dredging or removal use or development; and drainage of surface water. Compliance has been determined at this time because Housing Conservation and Rehabilitation does not constitute any of the above-mentioned cases; and based on all other standards included above, no project or activity will directly or indirectly have effect on the Macatawa River Marsh. This project does not involve new construction, expansion of a building's footprint, or ground disturbance. It is concluded that no violation of Wetland Standards will occur and that this project includes no activities that would require further evaluation under this section.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designated Wild and Scenic Rivers in the vicinity of the City of Holland. The project is in compliance with this requirement.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The project does not create adverse environmental impacts upon a low-income or minority community. The program's purpose is to improve the living environment for low-income and minority populations. The project is in compliance with Executive Order 12898.</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hyperlink r:id="rId15">
        <w:r>
          <w:rPr>
            <w:rStyle w:val="Hyperlink"/>
          </w:rPr>
          <w:t>Air-Quality-Worksheet(1).pdf</w:t>
        </w:r>
      </w:hyperlink>
    </w:p>
    <w:p>
      <w:pPr>
        <w:rPr>
          <w:rFonts w:ascii="Calibri" w:hAnsi="Calibri"/>
          <w:iCs/>
          <w:sz w:val="22"/>
          <w:szCs w:val="22"/>
        </w:rPr>
      </w:pPr>
      <w:hyperlink r:id="rId16">
        <w:r>
          <w:rPr>
            <w:rStyle w:val="Hyperlink"/>
          </w:rPr>
          <w:t>CBRS Mapper.pdf</w:t>
        </w:r>
      </w:hyperlink>
    </w:p>
    <w:p>
      <w:pPr>
        <w:rPr>
          <w:rFonts w:ascii="Calibri" w:hAnsi="Calibri"/>
          <w:iCs/>
          <w:sz w:val="22"/>
          <w:szCs w:val="22"/>
        </w:rPr>
      </w:pPr>
      <w:hyperlink r:id="rId17">
        <w:r>
          <w:rPr>
            <w:rStyle w:val="Hyperlink"/>
          </w:rPr>
          <w:t>CBRS Worksheet - CoH.pdf</w:t>
        </w:r>
      </w:hyperlink>
    </w:p>
    <w:p>
      <w:pPr>
        <w:rPr>
          <w:rFonts w:ascii="Calibri" w:hAnsi="Calibri"/>
          <w:iCs/>
          <w:sz w:val="22"/>
          <w:szCs w:val="22"/>
        </w:rPr>
      </w:pPr>
      <w:hyperlink r:id="rId18">
        <w:r>
          <w:rPr>
            <w:rStyle w:val="Hyperlink"/>
          </w:rPr>
          <w:t>CZMR-DEQ-Holland Home Repair Program CDBG 2019.pdf</w:t>
        </w:r>
      </w:hyperlink>
    </w:p>
    <w:p>
      <w:pPr>
        <w:rPr>
          <w:rFonts w:ascii="Calibri" w:hAnsi="Calibri"/>
          <w:iCs/>
          <w:sz w:val="22"/>
          <w:szCs w:val="22"/>
        </w:rPr>
      </w:pPr>
      <w:hyperlink r:id="rId19">
        <w:r>
          <w:rPr>
            <w:rStyle w:val="Hyperlink"/>
          </w:rPr>
          <w:t>CZ Management-Worksheet.pdf</w:t>
        </w:r>
      </w:hyperlink>
    </w:p>
    <w:p>
      <w:pPr>
        <w:rPr>
          <w:rFonts w:ascii="Calibri" w:hAnsi="Calibri"/>
          <w:iCs/>
          <w:sz w:val="22"/>
          <w:szCs w:val="22"/>
        </w:rPr>
      </w:pPr>
      <w:hyperlink r:id="rId20">
        <w:r>
          <w:rPr>
            <w:rStyle w:val="Hyperlink"/>
          </w:rPr>
          <w:t>Endangered-Species-Act-Worksheet.pdf</w:t>
        </w:r>
      </w:hyperlink>
    </w:p>
    <w:p>
      <w:pPr>
        <w:rPr>
          <w:rFonts w:ascii="Calibri" w:hAnsi="Calibri"/>
          <w:iCs/>
          <w:sz w:val="22"/>
          <w:szCs w:val="22"/>
        </w:rPr>
      </w:pPr>
      <w:hyperlink r:id="rId21">
        <w:r>
          <w:rPr>
            <w:rStyle w:val="Hyperlink"/>
          </w:rPr>
          <w:t>Environmental-Justice-Worksheet.pdf</w:t>
        </w:r>
      </w:hyperlink>
    </w:p>
    <w:p>
      <w:pPr>
        <w:rPr>
          <w:rFonts w:ascii="Calibri" w:hAnsi="Calibri"/>
          <w:iCs/>
          <w:sz w:val="22"/>
          <w:szCs w:val="22"/>
        </w:rPr>
      </w:pPr>
      <w:hyperlink r:id="rId22">
        <w:r>
          <w:rPr>
            <w:rStyle w:val="Hyperlink"/>
          </w:rPr>
          <w:t>Farmlands-Protection-Worksheet-HRP.pdf</w:t>
        </w:r>
      </w:hyperlink>
    </w:p>
    <w:p>
      <w:pPr>
        <w:rPr>
          <w:rFonts w:ascii="Calibri" w:hAnsi="Calibri"/>
          <w:iCs/>
          <w:sz w:val="22"/>
          <w:szCs w:val="22"/>
        </w:rPr>
      </w:pPr>
      <w:hyperlink r:id="rId23">
        <w:r>
          <w:rPr>
            <w:rStyle w:val="Hyperlink"/>
          </w:rPr>
          <w:t>CFR-2009-title24-vol1-part55-floodplain.pdf</w:t>
        </w:r>
      </w:hyperlink>
    </w:p>
    <w:p>
      <w:pPr>
        <w:rPr>
          <w:rFonts w:ascii="Calibri" w:hAnsi="Calibri"/>
          <w:iCs/>
          <w:sz w:val="22"/>
          <w:szCs w:val="22"/>
        </w:rPr>
      </w:pPr>
      <w:hyperlink r:id="rId24">
        <w:r>
          <w:rPr>
            <w:rStyle w:val="Hyperlink"/>
          </w:rPr>
          <w:t>Floodplain-Management-Worksheet.pdf</w:t>
        </w:r>
      </w:hyperlink>
    </w:p>
    <w:p>
      <w:pPr>
        <w:rPr>
          <w:rFonts w:ascii="Calibri" w:hAnsi="Calibri"/>
          <w:iCs/>
          <w:sz w:val="22"/>
          <w:szCs w:val="22"/>
        </w:rPr>
      </w:pPr>
      <w:hyperlink r:id="rId25">
        <w:r>
          <w:rPr>
            <w:rStyle w:val="Hyperlink"/>
          </w:rPr>
          <w:t>Sole source aquifers map.pdf</w:t>
        </w:r>
      </w:hyperlink>
    </w:p>
    <w:p>
      <w:pPr>
        <w:rPr>
          <w:rFonts w:ascii="Calibri" w:hAnsi="Calibri"/>
          <w:iCs/>
          <w:sz w:val="22"/>
          <w:szCs w:val="22"/>
        </w:rPr>
      </w:pPr>
      <w:hyperlink r:id="rId26">
        <w:r>
          <w:rPr>
            <w:rStyle w:val="Hyperlink"/>
          </w:rPr>
          <w:t>Sole-Source-Aquifers-Worksheet .pdf</w:t>
        </w:r>
      </w:hyperlink>
    </w:p>
    <w:p>
      <w:pPr>
        <w:rPr>
          <w:rFonts w:ascii="Calibri" w:hAnsi="Calibri"/>
          <w:iCs/>
          <w:sz w:val="22"/>
          <w:szCs w:val="22"/>
        </w:rPr>
      </w:pPr>
      <w:hyperlink r:id="rId27">
        <w:r>
          <w:rPr>
            <w:rStyle w:val="Hyperlink"/>
          </w:rPr>
          <w:t>Wetlands-Protection-Worksheet.pdf</w:t>
        </w:r>
      </w:hyperlink>
    </w:p>
    <w:p>
      <w:pPr>
        <w:rPr>
          <w:rFonts w:ascii="Calibri" w:hAnsi="Calibri"/>
          <w:iCs/>
          <w:sz w:val="22"/>
          <w:szCs w:val="22"/>
        </w:rPr>
      </w:pPr>
      <w:hyperlink r:id="rId28">
        <w:r>
          <w:rPr>
            <w:rStyle w:val="Hyperlink"/>
          </w:rPr>
          <w:t>wild and scenic map.pdf</w:t>
        </w:r>
      </w:hyperlink>
    </w:p>
    <w:p>
      <w:pPr>
        <w:rPr>
          <w:rFonts w:ascii="Calibri" w:hAnsi="Calibri"/>
          <w:iCs/>
          <w:sz w:val="22"/>
          <w:szCs w:val="22"/>
        </w:rPr>
      </w:pPr>
      <w:hyperlink r:id="rId29">
        <w:r>
          <w:rPr>
            <w:rStyle w:val="Hyperlink"/>
          </w:rPr>
          <w:t>Wild-and-Scenic-Rivers-Worksheet.pdf</w:t>
        </w:r>
      </w:hyperlink>
    </w:p>
    <w:p>
      <w:pPr>
        <w:rPr>
          <w:rFonts w:ascii="Calibri" w:hAnsi="Calibri"/>
          <w:iCs/>
          <w:sz w:val="22"/>
          <w:szCs w:val="22"/>
        </w:rPr>
      </w:pPr>
      <w:hyperlink r:id="rId30">
        <w:r>
          <w:rPr>
            <w:rStyle w:val="Hyperlink"/>
          </w:rPr>
          <w:t>Air-Quality-Worksheet.pdf</w:t>
        </w:r>
      </w:hyperlink>
    </w:p>
    <w:p>
      <w:pPr>
        <w:rPr>
          <w:rFonts w:ascii="Calibri" w:hAnsi="Calibri"/>
          <w:iCs/>
          <w:sz w:val="22"/>
          <w:szCs w:val="22"/>
        </w:rPr>
      </w:pPr>
      <w:hyperlink r:id="rId31">
        <w:r>
          <w:rPr>
            <w:rStyle w:val="Hyperlink"/>
          </w:rPr>
          <w:t>Contam and Toxic Subst - epa map of contam sites (10.2019).png</w:t>
        </w:r>
      </w:hyperlink>
    </w:p>
    <w:p>
      <w:pPr>
        <w:rPr>
          <w:rFonts w:ascii="Calibri" w:hAnsi="Calibri"/>
          <w:iCs/>
          <w:sz w:val="22"/>
          <w:szCs w:val="22"/>
        </w:rPr>
      </w:pPr>
      <w:hyperlink r:id="rId32">
        <w:r>
          <w:rPr>
            <w:rStyle w:val="Hyperlink"/>
          </w:rPr>
          <w:t>Contam and Toxic Subst Wksht.pdf</w:t>
        </w:r>
      </w:hyperlink>
    </w:p>
    <w:p>
      <w:pPr>
        <w:rPr>
          <w:rFonts w:ascii="Calibri" w:hAnsi="Calibri"/>
          <w:iCs/>
          <w:sz w:val="22"/>
          <w:szCs w:val="22"/>
        </w:rPr>
      </w:pPr>
      <w:hyperlink r:id="rId33">
        <w:r>
          <w:rPr>
            <w:rStyle w:val="Hyperlink"/>
          </w:rPr>
          <w:t>Explosive-and-Flammable-Facilities-Worksheet home repair.pdf</w:t>
        </w:r>
      </w:hyperlink>
    </w:p>
    <w:p>
      <w:pPr>
        <w:rPr>
          <w:rFonts w:ascii="Calibri" w:hAnsi="Calibri"/>
          <w:iCs/>
          <w:sz w:val="22"/>
          <w:szCs w:val="22"/>
        </w:rPr>
      </w:pPr>
      <w:hyperlink r:id="rId34">
        <w:r>
          <w:rPr>
            <w:rStyle w:val="Hyperlink"/>
          </w:rPr>
          <w:t>Noise-Abatement-and-Control-CEST-Worksheet ,.pdf</w:t>
        </w:r>
      </w:hyperlink>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There are a very limited number of homes (approximately 27) within the City of Holland that are located partially or completely in an established flood hazard zone. City staff will review each project to see if individual projects are in the hazard zone based on the list. If a property is located within the flood hazard zone, staff will make sure the owner has flood insurance for the required time period.</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The City of Holland has many years of experience working with the State Historic Preservation Office and has developed an approved system for their review of our individual projects. Staff has an accurate understanding of which projects require review per guidelines established by the State Historic Preservation Office (SHPO) and staff sends each reviewable project to SHPO for evaluation prior to committing funds to the projects.</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hyperlink r:id="rId35">
        <w:r>
          <w:rPr>
            <w:rStyle w:val="Hyperlink"/>
          </w:rPr>
          <w:t>SHPO Memo (Feb 2005).pdf</w:t>
        </w:r>
      </w:hyperlink>
    </w:p>
    <w:p>
      <w:pPr>
        <w:rPr>
          <w:rFonts w:ascii="Calibri" w:hAnsi="Calibri"/>
          <w:iCs/>
          <w:sz w:val="22"/>
          <w:szCs w:val="22"/>
        </w:rPr>
      </w:pPr>
      <w:hyperlink r:id="rId36">
        <w:r>
          <w:rPr>
            <w:rStyle w:val="Hyperlink"/>
          </w:rPr>
          <w:t>Site Specific ERR.pdf</w:t>
        </w:r>
      </w:hyperlink>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11/05/2019 15:21</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2019/20-Home-Energry-Retrofit-Program</w:t>
          </w:r>
        </w:p>
      </w:tc>
      <w:tc>
        <w:tcPr>
          <w:tcW w:w="3192" w:type="dxa"/>
        </w:tcPr>
        <w:p>
          <w:pPr>
            <w:pStyle w:val="Footer"/>
            <w:jc w:val="center"/>
          </w:pPr>
          <w:r>
            <w:t>Holland, MI</w:t>
          </w:r>
        </w:p>
      </w:tc>
      <w:tc>
        <w:tcPr>
          <w:tcW w:w="3192" w:type="dxa"/>
        </w:tcPr>
        <w:p>
          <w:pPr>
            <w:pStyle w:val="Footer"/>
            <w:jc w:val="right"/>
          </w:pPr>
          <w:r>
            <w:t>900000010108203</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08203_12162019_900000010502915_1572985228928.pdf" Type="http://schemas.openxmlformats.org/officeDocument/2006/relationships/hyperlink" Id="rId13"/><Relationship TargetMode="External" Target="https://www.onecpd.info/reports/ESD_900000010108203_12162019_900000010505374_1572985228928.pdf" Type="http://schemas.openxmlformats.org/officeDocument/2006/relationships/hyperlink" Id="rId14"/><Relationship TargetMode="External" Target="https://www.onecpd.info/reports/ESD_900000010108203_12162019_900000010502982_1572985228928.pdf" Type="http://schemas.openxmlformats.org/officeDocument/2006/relationships/hyperlink" Id="rId15"/><Relationship TargetMode="External" Target="https://www.onecpd.info/reports/ESD_900000010108203_12162019_900000010502979_1572985228928.pdf" Type="http://schemas.openxmlformats.org/officeDocument/2006/relationships/hyperlink" Id="rId16"/><Relationship TargetMode="External" Target="https://www.onecpd.info/reports/ESD_900000010108203_12162019_900000010502978_1572985228928.pdf" Type="http://schemas.openxmlformats.org/officeDocument/2006/relationships/hyperlink" Id="rId17"/><Relationship TargetMode="External" Target="https://www.onecpd.info/reports/ESD_900000010108203_12162019_900000010502984_1572985228928.pdf" Type="http://schemas.openxmlformats.org/officeDocument/2006/relationships/hyperlink" Id="rId18"/><Relationship TargetMode="External" Target="https://www.onecpd.info/reports/ESD_900000010108203_12162019_900000010502983_1572985228928.pdf" Type="http://schemas.openxmlformats.org/officeDocument/2006/relationships/hyperlink" Id="rId19"/><Relationship TargetMode="External" Target="https://www.onecpd.info/reports/ESD_900000010108203_12162019_900000010502994_1572985228928.pdf" Type="http://schemas.openxmlformats.org/officeDocument/2006/relationships/hyperlink" Id="rId20"/><Relationship TargetMode="External" Target="https://www.onecpd.info/reports/ESD_900000010108203_12162019_900000010503020_1572985228928.pdf" Type="http://schemas.openxmlformats.org/officeDocument/2006/relationships/hyperlink" Id="rId21"/><Relationship TargetMode="External" Target="https://www.onecpd.info/reports/ESD_900000010108203_12162019_900000010502997_1572985228928.pdf" Type="http://schemas.openxmlformats.org/officeDocument/2006/relationships/hyperlink" Id="rId22"/><Relationship TargetMode="External" Target="https://www.onecpd.info/reports/ESD_900000010108203_12162019_900000010503001_1572985228928.pdf" Type="http://schemas.openxmlformats.org/officeDocument/2006/relationships/hyperlink" Id="rId23"/><Relationship TargetMode="External" Target="https://www.onecpd.info/reports/ESD_900000010108203_12162019_900000010502998_1572985228928.pdf" Type="http://schemas.openxmlformats.org/officeDocument/2006/relationships/hyperlink" Id="rId24"/><Relationship TargetMode="External" Target="https://www.onecpd.info/reports/ESD_900000010108203_12162019_900000010503008_1572985228928.pdf" Type="http://schemas.openxmlformats.org/officeDocument/2006/relationships/hyperlink" Id="rId25"/><Relationship TargetMode="External" Target="https://www.onecpd.info/reports/ESD_900000010108203_12162019_900000010503004_1572985228928.pdf" Type="http://schemas.openxmlformats.org/officeDocument/2006/relationships/hyperlink" Id="rId26"/><Relationship TargetMode="External" Target="https://www.onecpd.info/reports/ESD_900000010108203_12162019_900000010503014_1572985228928.pdf" Type="http://schemas.openxmlformats.org/officeDocument/2006/relationships/hyperlink" Id="rId27"/><Relationship TargetMode="External" Target="https://www.onecpd.info/reports/ESD_900000010108203_12162019_900000010503018_1572985228928.pdf" Type="http://schemas.openxmlformats.org/officeDocument/2006/relationships/hyperlink" Id="rId28"/><Relationship TargetMode="External" Target="https://www.onecpd.info/reports/ESD_900000010108203_12162019_900000010503016_1572985228928.pdf" Type="http://schemas.openxmlformats.org/officeDocument/2006/relationships/hyperlink" Id="rId29"/><Relationship TargetMode="External" Target="https://www.onecpd.info/reports/ESD_900000010108203_12162019_900000010502977_1572985228928.pdf" Type="http://schemas.openxmlformats.org/officeDocument/2006/relationships/hyperlink" Id="rId30"/><Relationship TargetMode="External" Target="https://www.onecpd.info/reports/ESD_900000010108203_12162019_900000010502992_1572985228928.png" Type="http://schemas.openxmlformats.org/officeDocument/2006/relationships/hyperlink" Id="rId31"/><Relationship TargetMode="External" Target="https://www.onecpd.info/reports/ESD_900000010108203_12162019_900000010502988_1572985228928.pdf" Type="http://schemas.openxmlformats.org/officeDocument/2006/relationships/hyperlink" Id="rId32"/><Relationship TargetMode="External" Target="https://www.onecpd.info/reports/ESD_900000010108203_12162019_900000010502996_1572985228928.pdf" Type="http://schemas.openxmlformats.org/officeDocument/2006/relationships/hyperlink" Id="rId33"/><Relationship TargetMode="External" Target="https://www.onecpd.info/reports/ESD_900000010108203_12162019_900000010503003_1572985228928.pdf" Type="http://schemas.openxmlformats.org/officeDocument/2006/relationships/hyperlink" Id="rId34"/><Relationship TargetMode="External" Target="https://www.onecpd.info/reports/ESD_900000010108203_12162019_900000010503037_1572985228928.pdf" Type="http://schemas.openxmlformats.org/officeDocument/2006/relationships/hyperlink" Id="rId35"/><Relationship TargetMode="External" Target="https://www.onecpd.info/reports/ESD_900000010108203_12162019_900000010503035_1572985228928.pdf" Type="http://schemas.openxmlformats.org/officeDocument/2006/relationships/hyperlink" Id="rId36"/></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