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4316c616" w14:textId="4316c616">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Clark-County-Homeowner-Rehabilitation</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900000010104528</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CLARK COUNTY, PO Box 5000 Vancouver WA, 98666</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Samantha Whitley</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Michael Torres</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Clark County, WA </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Only homes in the City of Woodland or Clark County, outside the City of Vancouver are eligible for assistance.</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PO Box 5000</w:t>
            </w:r>
            <w:r>
              <w:rPr/>
              <w:br/>
              <w:t xml:space="preserve"/>
            </w:r>
            <w:r>
              <w:rPr/>
              <w:t xml:space="preserve">Vancouver, WA 98666-5000</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Homeowner rehabilitation program serves approximately 15 - 20 households per year with repairs to make owner-occupied homes safe and livable.Annually, $250,000 is setaside for this work with county staff assisting with loan documents, work specifications, housing inspections and contractor selection.</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hyperlink r:id="rId13">
        <w:r>
          <w:rPr>
            <w:rStyle w:val="Hyperlink"/>
          </w:rPr>
          <w:t>Clark County map.pdf</w:t>
        </w:r>
      </w:hyperlink>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more than 1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5 Years</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120</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58.35(a)(3)</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4">
        <w:r>
          <w:rPr>
            <w:rStyle w:val="Hyperlink"/>
          </w:rPr>
          <w:t>Signature Page.pdf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1850</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$250,000.00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$250,000.00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There are no homes in Clark County which are located within 3000 feet of a civil airport or within 15,000 feet of a military airfield. The nearest airport is the Portland airport, which is separated from Clark County residences by the City of Vancouver. The nearest point in Clark County to the Portland airport is 22,666 feet per GIS.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 coastal barrier resources in Clark County per US Fish and Wildlife.</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 HUD Environmental checklist, clean air is only a factor when an environmental assessment level of review is conducted.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 coastal zone in Clark County.</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 HUD Environmental checklist, rehabilitation of an existing structure will have No Effect on listed or proposed species and designated or proposed critical habitat.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Homeowner rehabilitation will not increase residential densities, convert a building for habitation or make vacant buildings habitable.</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Homeowner rehabilitation does not include new construction, acquisition of undeveloped land or change in use of land or property.</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Program inspector works with homeowner's and recommends noise abasement as necessary for rehabilitation program.</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Rehab program consists of an individual action on one-to-four unit residential building and meets all applicable local and state groundwater regulations.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homeowner rehabilitation program will not expand the footprint of the building.</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 Wild and Scenic Rivers designated in Clark County.</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activity will commence that may have an adverse environmental impact.</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hyperlink r:id="rId15">
        <w:r>
          <w:rPr>
            <w:rStyle w:val="Hyperlink"/>
          </w:rPr>
          <w:t>8 Clean Air Worksheet.pdf</w:t>
        </w:r>
      </w:hyperlink>
    </w:p>
    <w:p>
      <w:pPr>
        <w:rPr>
          <w:rFonts w:ascii="Calibri" w:hAnsi="Calibri"/>
          <w:iCs/>
          <w:sz w:val="22"/>
          <w:szCs w:val="22"/>
        </w:rPr>
      </w:pPr>
      <w:hyperlink r:id="rId16">
        <w:r>
          <w:rPr>
            <w:rStyle w:val="Hyperlink"/>
          </w:rPr>
          <w:t>USFW Coastal Barrier Map.pdf</w:t>
        </w:r>
      </w:hyperlink>
    </w:p>
    <w:p>
      <w:pPr>
        <w:rPr>
          <w:rFonts w:ascii="Calibri" w:hAnsi="Calibri"/>
          <w:iCs/>
          <w:sz w:val="22"/>
          <w:szCs w:val="22"/>
        </w:rPr>
      </w:pPr>
      <w:hyperlink r:id="rId17">
        <w:r>
          <w:rPr>
            <w:rStyle w:val="Hyperlink"/>
          </w:rPr>
          <w:t>State Coastal Management Plan(1).jpg</w:t>
        </w:r>
      </w:hyperlink>
    </w:p>
    <w:p>
      <w:pPr>
        <w:rPr>
          <w:rFonts w:ascii="Calibri" w:hAnsi="Calibri"/>
          <w:iCs/>
          <w:sz w:val="22"/>
          <w:szCs w:val="22"/>
        </w:rPr>
      </w:pPr>
      <w:hyperlink r:id="rId18">
        <w:r>
          <w:rPr>
            <w:rStyle w:val="Hyperlink"/>
          </w:rPr>
          <w:t>6 Endangered Species  Worksheet.pdf</w:t>
        </w:r>
      </w:hyperlink>
    </w:p>
    <w:p>
      <w:pPr>
        <w:rPr>
          <w:rFonts w:ascii="Calibri" w:hAnsi="Calibri"/>
          <w:iCs/>
          <w:sz w:val="22"/>
          <w:szCs w:val="22"/>
        </w:rPr>
      </w:pPr>
      <w:hyperlink r:id="rId19">
        <w:r>
          <w:rPr>
            <w:rStyle w:val="Hyperlink"/>
          </w:rPr>
          <w:t>10 Env Justice Worksheet.pdf</w:t>
        </w:r>
      </w:hyperlink>
    </w:p>
    <w:p>
      <w:pPr>
        <w:rPr>
          <w:rFonts w:ascii="Calibri" w:hAnsi="Calibri"/>
          <w:iCs/>
          <w:sz w:val="22"/>
          <w:szCs w:val="22"/>
        </w:rPr>
      </w:pPr>
      <w:hyperlink r:id="rId20">
        <w:r>
          <w:rPr>
            <w:rStyle w:val="Hyperlink"/>
          </w:rPr>
          <w:t>9 Farmland Worksheet.pdf</w:t>
        </w:r>
      </w:hyperlink>
    </w:p>
    <w:p>
      <w:pPr>
        <w:rPr>
          <w:rFonts w:ascii="Calibri" w:hAnsi="Calibri"/>
          <w:iCs/>
          <w:sz w:val="22"/>
          <w:szCs w:val="22"/>
        </w:rPr>
      </w:pPr>
      <w:hyperlink r:id="rId21">
        <w:r>
          <w:rPr>
            <w:rStyle w:val="Hyperlink"/>
          </w:rPr>
          <w:t>5 Sole Source Aquifers Worksheet.pdf</w:t>
        </w:r>
      </w:hyperlink>
    </w:p>
    <w:p>
      <w:pPr>
        <w:rPr>
          <w:rFonts w:ascii="Calibri" w:hAnsi="Calibri"/>
          <w:iCs/>
          <w:sz w:val="22"/>
          <w:szCs w:val="22"/>
        </w:rPr>
      </w:pPr>
      <w:hyperlink r:id="rId22">
        <w:r>
          <w:rPr>
            <w:rStyle w:val="Hyperlink"/>
          </w:rPr>
          <w:t>3 Wetlands Worksheet.pdf</w:t>
        </w:r>
      </w:hyperlink>
    </w:p>
    <w:p>
      <w:pPr>
        <w:rPr>
          <w:rFonts w:ascii="Calibri" w:hAnsi="Calibri"/>
          <w:iCs/>
          <w:sz w:val="22"/>
          <w:szCs w:val="22"/>
        </w:rPr>
      </w:pPr>
      <w:hyperlink r:id="rId23">
        <w:r>
          <w:rPr>
            <w:rStyle w:val="Hyperlink"/>
          </w:rPr>
          <w:t>Nationwide Rivers Inventory.pdf</w:t>
        </w:r>
      </w:hyperlink>
    </w:p>
    <w:p>
      <w:pPr>
        <w:rPr>
          <w:rFonts w:ascii="Calibri" w:hAnsi="Calibri"/>
          <w:iCs/>
          <w:sz w:val="22"/>
          <w:szCs w:val="22"/>
        </w:rPr>
      </w:pPr>
      <w:hyperlink r:id="rId24">
        <w:r>
          <w:rPr>
            <w:rStyle w:val="Hyperlink"/>
          </w:rPr>
          <w:t>Airport map.JPG</w:t>
        </w:r>
      </w:hyperlink>
    </w:p>
    <w:p>
      <w:pPr>
        <w:rPr>
          <w:rFonts w:ascii="Calibri" w:hAnsi="Calibri"/>
          <w:iCs/>
          <w:sz w:val="22"/>
          <w:szCs w:val="22"/>
        </w:rPr>
      </w:pPr>
      <w:hyperlink r:id="rId25">
        <w:r>
          <w:rPr>
            <w:rStyle w:val="Hyperlink"/>
          </w:rPr>
          <w:t>12 Explosives Worksheet.pdf</w:t>
        </w:r>
      </w:hyperlink>
    </w:p>
    <w:p>
      <w:pPr>
        <w:rPr>
          <w:rFonts w:ascii="Calibri" w:hAnsi="Calibri"/>
          <w:iCs/>
          <w:sz w:val="22"/>
          <w:szCs w:val="22"/>
        </w:rPr>
      </w:pPr>
      <w:hyperlink r:id="rId26">
        <w:r>
          <w:rPr>
            <w:rStyle w:val="Hyperlink"/>
          </w:rPr>
          <w:t>Noise-Abatement-and-Control-CEST-Worksheet.pdf</w:t>
        </w:r>
      </w:hyperlink>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Flood Insurance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Property eligibility and inspection will include research on FEMA's Flood Plain website and documentation on HUD Environmental checklist.</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Contamination and Toxic Substances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Property eligibility and inspection will include research on EPA and Superfund website and documentation on HUD Environmental checklist.</w:t>
            </w:r>
          </w:p>
        </w:tc>
      </w:tr>
      <w:tr>
        <w:trPr>
          <w:cantSplit w:val="true"/>
        </w:trPr>
        <w:tc>
          <w:tcPr>
            <w:vMerge w:val="restart"/>
          </w:tcPr>
          <w:p>
            <w:r>
              <w:rPr>
                <w:b w:val="true"/>
              </w:rPr>
              <w:t>3</w:t>
            </w:r>
          </w:p>
        </w:tc>
        <w:tc>
          <w:p>
            <w:pPr>
              <w:keepNext w:val="true"/>
              <w:spacing w:after="0"/>
              <w:rPr>
                <w:rFonts w:ascii="Calibri" w:hAnsi="Calibri"/>
                <w:b/>
                <w:u w:val="single"/>
              </w:rPr>
            </w:pPr>
          </w:p>
        </w:tc>
        <w:tc>
          <w:p>
            <w:pPr>
              <w:spacing w:after="0"/>
            </w:pPr>
            <w:r>
              <w:rPr>
                <w:rFonts w:ascii="Calibri" w:hAnsi="Calibri"/>
                <w:color w:val="000000"/>
                <w:sz w:val="22"/>
              </w:rPr>
              <w:t xml:space="preserve">Floodplain Management</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Property eligibility and inspection will include research on FEMA's Flood Plain website and documentation on HUD Environmental checklist.</w:t>
            </w:r>
          </w:p>
        </w:tc>
      </w:tr>
      <w:tr>
        <w:trPr>
          <w:cantSplit w:val="true"/>
        </w:trPr>
        <w:tc>
          <w:tcPr>
            <w:vMerge w:val="restart"/>
          </w:tcPr>
          <w:p>
            <w:r>
              <w:rPr>
                <w:b w:val="true"/>
              </w:rPr>
              <w:t>4</w:t>
            </w:r>
          </w:p>
        </w:tc>
        <w:tc>
          <w:p>
            <w:pPr>
              <w:keepNext w:val="true"/>
              <w:spacing w:after="0"/>
              <w:rPr>
                <w:rFonts w:ascii="Calibri" w:hAnsi="Calibri"/>
                <w:b/>
                <w:u w:val="single"/>
              </w:rPr>
            </w:pPr>
          </w:p>
        </w:tc>
        <w:tc>
          <w:p>
            <w:pPr>
              <w:spacing w:after="0"/>
            </w:pPr>
            <w:r>
              <w:rPr>
                <w:rFonts w:ascii="Calibri" w:hAnsi="Calibri"/>
                <w:color w:val="000000"/>
                <w:sz w:val="22"/>
              </w:rPr>
              <w:t xml:space="preserve">Historic Preservation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Property eligibility and inspection will include consultation with Department of Archaeology and Historic Preservation if over 45 years old, and consultation with Tribes if ground disturbance is anticipated. Findings will be documented on HUD Environmental checklist.</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hyperlink r:id="rId27">
        <w:r>
          <w:rPr>
            <w:rStyle w:val="Hyperlink"/>
          </w:rPr>
          <w:t>Site Spec Enviro Review.docx</w:t>
        </w:r>
      </w:hyperlink>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10/03/2019 13:41</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Clark-County-Homeowner-Rehabilitation</w:t>
          </w:r>
        </w:p>
      </w:tc>
      <w:tc>
        <w:tcPr>
          <w:tcW w:w="3192" w:type="dxa"/>
        </w:tcPr>
        <w:p>
          <w:pPr>
            <w:pStyle w:val="Footer"/>
            <w:jc w:val="center"/>
          </w:pPr>
          <w:r>
            <w:t>Clark County, WA</w:t>
          </w:r>
        </w:p>
      </w:tc>
      <w:tc>
        <w:tcPr>
          <w:tcW w:w="3192" w:type="dxa"/>
        </w:tcPr>
        <w:p>
          <w:pPr>
            <w:pStyle w:val="Footer"/>
            <w:jc w:val="right"/>
          </w:pPr>
          <w:r>
            <w:t>900000010104528</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104528_11042019_900000010480763_1570124433801.pdf" Type="http://schemas.openxmlformats.org/officeDocument/2006/relationships/hyperlink" Id="rId13"/><Relationship TargetMode="External" Target="https://www.onecpd.info/reports/ESD_900000010104528_11042019_900000010481300_1570124433801.pdf" Type="http://schemas.openxmlformats.org/officeDocument/2006/relationships/hyperlink" Id="rId14"/><Relationship TargetMode="External" Target="https://www.onecpd.info/reports/ESD_900000010104528_11042019_900000010480772_1570124433801.pdf" Type="http://schemas.openxmlformats.org/officeDocument/2006/relationships/hyperlink" Id="rId15"/><Relationship TargetMode="External" Target="https://www.onecpd.info/reports/ESD_900000010104528_11042019_900000010480775_1570124433801.pdf" Type="http://schemas.openxmlformats.org/officeDocument/2006/relationships/hyperlink" Id="rId16"/><Relationship TargetMode="External" Target="https://www.onecpd.info/reports/ESD_900000010104528_11042019_900000010480774_1570124433801.jpg" Type="http://schemas.openxmlformats.org/officeDocument/2006/relationships/hyperlink" Id="rId17"/><Relationship TargetMode="External" Target="https://www.onecpd.info/reports/ESD_900000010104528_11042019_900000010480778_1570124433801.pdf" Type="http://schemas.openxmlformats.org/officeDocument/2006/relationships/hyperlink" Id="rId18"/><Relationship TargetMode="External" Target="https://www.onecpd.info/reports/ESD_900000010104528_11042019_900000010480793_1570124433801.pdf" Type="http://schemas.openxmlformats.org/officeDocument/2006/relationships/hyperlink" Id="rId19"/><Relationship TargetMode="External" Target="https://www.onecpd.info/reports/ESD_900000010104528_11042019_900000010480780_1570124433801.pdf" Type="http://schemas.openxmlformats.org/officeDocument/2006/relationships/hyperlink" Id="rId20"/><Relationship TargetMode="External" Target="https://www.onecpd.info/reports/ESD_900000010104528_11042019_900000010480787_1570124433801.pdf" Type="http://schemas.openxmlformats.org/officeDocument/2006/relationships/hyperlink" Id="rId21"/><Relationship TargetMode="External" Target="https://www.onecpd.info/reports/ESD_900000010104528_11042019_900000010480791_1570124433801.pdf" Type="http://schemas.openxmlformats.org/officeDocument/2006/relationships/hyperlink" Id="rId22"/><Relationship TargetMode="External" Target="https://www.onecpd.info/reports/ESD_900000010104528_11042019_900000010480792_1570124433801.pdf" Type="http://schemas.openxmlformats.org/officeDocument/2006/relationships/hyperlink" Id="rId23"/><Relationship TargetMode="External" Target="https://www.onecpd.info/reports/ESD_900000010104528_11042019_900000010480770_1570124433801.JPG" Type="http://schemas.openxmlformats.org/officeDocument/2006/relationships/hyperlink" Id="rId24"/><Relationship TargetMode="External" Target="https://www.onecpd.info/reports/ESD_900000010104528_11042019_900000010480808_1570124433801.pdf" Type="http://schemas.openxmlformats.org/officeDocument/2006/relationships/hyperlink" Id="rId25"/><Relationship TargetMode="External" Target="https://www.onecpd.info/reports/ESD_900000010104528_11042019_900000010480784_1570124433801.pdf" Type="http://schemas.openxmlformats.org/officeDocument/2006/relationships/hyperlink" Id="rId26"/><Relationship TargetMode="External" Target="https://www.onecpd.info/reports/ESD_900000010104528_11042019_900000010480811_1570124433801.docx" Type="http://schemas.openxmlformats.org/officeDocument/2006/relationships/hyperlink" Id="rId27"/></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