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07ebe0d9" w14:textId="07ebe0d9">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HOME-Champaign-County-Neighborhood-Revitalization</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900000010094894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URBANA, 400 S Vine St Urbana IL, 61801</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Alyssa Jaje</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Diane Wolfe Marlin</w:t>
            </w: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Urbana, IL 61802</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Champaign County Regional Planning 1776 E Washington St, Urbana, IL 61802</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City of Urbana</w:t>
            </w:r>
            <w:r>
              <w:rPr/>
              <w:br/>
              <w:t xml:space="preserve"/>
            </w:r>
            <w:r>
              <w:rPr/>
              <w:t xml:space="preserve">Community Development Services</w:t>
            </w:r>
            <w:r>
              <w:rPr/>
              <w:br/>
              <w:t xml:space="preserve"/>
            </w:r>
            <w:r>
              <w:rPr/>
              <w:t xml:space="preserve">400 S. Vine Street</w:t>
            </w:r>
            <w:r>
              <w:rPr/>
              <w:br/>
              <w:t xml:space="preserve"/>
            </w:r>
            <w:r>
              <w:rPr/>
              <w:t xml:space="preserve">Urbana, IL 61801</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Funds will be used to support the neighborhood revitalization activities undertaken by the Champaign County Regional Planning Commission, including Tenant Based Rental Assistance.</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0</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58.35(a)(1)</w:t>
            </w:r>
          </w:p>
        </w:tc>
      </w:tr>
      <w:tr>
        <w:tc>
          <w:tcPr>
            <w:vAlign w:val="bottom"/>
          </w:tcPr>
          <w:p>
            <w:pPr>
              <w:spacing w:beforeAutospacing="true" w:afterAutospacing="true"/>
              <w:jc w:val="left"/>
            </w:pPr>
            <w:r>
              <w:rPr>
                <w:rFonts w:ascii="Calibri" w:hAnsi="Calibri"/>
                <w:color w:val="000000"/>
                <w:sz w:val="22"/>
              </w:rPr>
              <w:t xml:space="preserve">58.35(a)(2)</w:t>
            </w:r>
          </w:p>
        </w:tc>
      </w:tr>
      <w:tr>
        <w:tc>
          <w:tcPr>
            <w:vAlign w:val="bottom"/>
          </w:tcPr>
          <w:p>
            <w:pPr>
              <w:spacing w:beforeAutospacing="true" w:afterAutospacing="true"/>
              <w:jc w:val="left"/>
            </w:pPr>
            <w:r>
              <w:rPr>
                <w:rFonts w:ascii="Calibri" w:hAnsi="Calibri"/>
                <w:color w:val="000000"/>
                <w:sz w:val="22"/>
              </w:rPr>
              <w:t xml:space="preserve">58.35(a)(3)</w:t>
            </w:r>
          </w:p>
        </w:tc>
      </w:tr>
      <w:tr>
        <w:tc>
          <w:tcPr>
            <w:vAlign w:val="bottom"/>
          </w:tcPr>
          <w:p>
            <w:pPr>
              <w:spacing w:beforeAutospacing="true" w:afterAutospacing="true"/>
              <w:jc w:val="left"/>
            </w:pPr>
            <w:r>
              <w:rPr>
                <w:rFonts w:ascii="Calibri" w:hAnsi="Calibri"/>
                <w:color w:val="000000"/>
                <w:sz w:val="22"/>
              </w:rPr>
              <w:t xml:space="preserve">58.35(a)(4)</w:t>
            </w:r>
          </w:p>
        </w:tc>
      </w:tr>
      <w:tr>
        <w:tc>
          <w:tcPr>
            <w:vAlign w:val="bottom"/>
          </w:tcPr>
          <w:p>
            <w:pPr>
              <w:spacing w:beforeAutospacing="true" w:afterAutospacing="true"/>
              <w:jc w:val="left"/>
            </w:pPr>
            <w:r>
              <w:rPr>
                <w:rFonts w:ascii="Calibri" w:hAnsi="Calibri"/>
                <w:color w:val="000000"/>
                <w:sz w:val="22"/>
              </w:rPr>
              <w:t xml:space="preserve">58.35(a)(5)</w:t>
            </w:r>
          </w:p>
        </w:tc>
      </w:tr>
      <w:tr>
        <w:tc>
          <w:tcPr>
            <w:vAlign w:val="bottom"/>
          </w:tcPr>
          <w:p>
            <w:pPr>
              <w:spacing w:beforeAutospacing="true" w:afterAutospacing="true"/>
              <w:jc w:val="left"/>
            </w:pPr>
            <w:r>
              <w:rPr>
                <w:rFonts w:ascii="Calibri" w:hAnsi="Calibri"/>
                <w:color w:val="000000"/>
                <w:sz w:val="22"/>
              </w:rPr>
              <w:t xml:space="preserve">58.35(a)(6)</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3">
        <w:r>
          <w:rPr>
            <w:rStyle w:val="Hyperlink"/>
          </w:rPr>
          <w:t>SIGNEDsignature.pdf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Unknown</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$87,542.00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$87,542.00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located in a state that does not contain CBRS units. Therefore, this project is in compliance with the Coastal Barrier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Champaign County is not located in a non-attainment area.</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Coastal Zone Management Areas in Champaign County.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wild and scenic rivers in Champaign County.</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 </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14">
        <w:r>
          <w:rPr>
            <w:rStyle w:val="Hyperlink"/>
          </w:rPr>
          <w:t>Clean Air.pdf</w:t>
        </w:r>
      </w:hyperlink>
    </w:p>
    <w:p>
      <w:pPr>
        <w:rPr>
          <w:rFonts w:ascii="Calibri" w:hAnsi="Calibri"/>
          <w:iCs/>
          <w:sz w:val="22"/>
          <w:szCs w:val="22"/>
        </w:rPr>
      </w:pPr>
      <w:hyperlink r:id="rId15">
        <w:r>
          <w:rPr>
            <w:rStyle w:val="Hyperlink"/>
          </w:rPr>
          <w:t>Coastal Barrier.pdf</w:t>
        </w:r>
      </w:hyperlink>
    </w:p>
    <w:p>
      <w:pPr>
        <w:rPr>
          <w:rFonts w:ascii="Calibri" w:hAnsi="Calibri"/>
          <w:iCs/>
          <w:sz w:val="22"/>
          <w:szCs w:val="22"/>
        </w:rPr>
      </w:pPr>
      <w:hyperlink r:id="rId16">
        <w:r>
          <w:rPr>
            <w:rStyle w:val="Hyperlink"/>
          </w:rPr>
          <w:t>Coastal Zone.pdf</w:t>
        </w:r>
      </w:hyperlink>
    </w:p>
    <w:p>
      <w:pPr>
        <w:rPr>
          <w:rFonts w:ascii="Calibri" w:hAnsi="Calibri"/>
          <w:iCs/>
          <w:sz w:val="22"/>
          <w:szCs w:val="22"/>
        </w:rPr>
      </w:pPr>
      <w:hyperlink r:id="rId17">
        <w:r>
          <w:rPr>
            <w:rStyle w:val="Hyperlink"/>
          </w:rPr>
          <w:t>Wild and Scenic Rivers.pdf</w:t>
        </w:r>
      </w:hyperlink>
    </w:p>
    <w:p>
      <w:pPr>
        <w:rPr>
          <w:rFonts w:ascii="Calibri" w:hAnsi="Calibri"/>
          <w:iCs/>
          <w:sz w:val="22"/>
          <w:szCs w:val="22"/>
        </w:rPr>
      </w:pPr>
      <w:hyperlink r:id="rId18">
        <w:r>
          <w:rPr>
            <w:rStyle w:val="Hyperlink"/>
          </w:rPr>
          <w:t>Vermilion River (Middle Fork), Illinois.pdf</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Airport Hazards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Most activities in Urbana and Champaign can demonstrate compliance with this regulation by producing a Google or GIS map that shows the distance between the project site and the nearer of Frasca Field or Willard Airport. If the project site lies within 15,000 feet of a military airport of 2,500 feet of a civilian airport, the Grants Management staff will contact the airport authorities to determine if the project is located within an Accident Potential Zone (APZ) or Runway Protection Zone/Clear Zone (RPZ/CZ). If in an APZ and if the project entails new construction, substantial rehabilitation, acquisition of undeveloped land, activities that would significantly prolong the physical or economic life of existing facilities or change the use of the facility to a use that is not consistent with the recommendations of the Department of Defense (DoD)'s Land Use Compatibility Guidelines, activities that would significantly increase the density or number of people at the site, or activities that would introduce explosive, flammable, or toxic materials to the area, then Grants Management staff must ensure that the project is in conformance with DoD guidelines. If in a RPZ/CZ and the project involves facilities that will be frequently used or occupied by people, then written assurances from the airport operator must be obtained. If the project involves the acquisition or sale of an existing property that will be frequently used or occupied by people, staff must provide written notice to the prospective buyer to inform them of the potential hazards from airplane accidents as well as the potential for the property to be purchased as part of an airport expansion project in accordance with 24 CFR 51.303(a)(3). HUD assistance may not be used at this location if project involves new construction, substantial rehabilitation, acquisition of undeveloped land, or activities that would significantly prolong the physical or economic life of existing facilities that will be frequently used or occupied by people.</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the project involves mortgage insurance, refinance, acquisition, repairs, rehabilitation, or construction of a structure, mobile home, or insurable personal property, then the appropriate FEMA FIRM will be examined to determine whether or not the structure, part of the structure, or insurable property is located in a FEMA-designated Special Flood Zone. If the project is outside of the 100-year floodplain, then the FIRM can be documented in the ERR. If the project does lie within the 100-year floodplain, and if the funds involved are in excess of $5,000 and are not being used for leasing activities alone, then the Grants Management Division staff will obtain a copy of the applicable flood insurance policy declaration or a paid receipt for the current annual flood insurance premium and a copy of the application for flood insurance to keep in the review.</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Grants Management Division staff will provide evidence the site is not contaminated using NEPAssist (https://www.epa.gov/nepa/nepassist). Define the project boundaries in NEPAssist and draw a 3,000 foot radius around the project. Under the "Select Map Contents" menu, turn on all boxes under "EPA Facilities." Click on the project location and create a NEPAssist report. File all Facility Reports or ECHO Reports for each EPA facility in a 3,000 foot radius of the project. If any ECHO reports indicate that an EPA facility is in non-compliance status, then document the reason for it and determine if it could pose a threat to the project. If a solid-waste landfill is found through NEPAssist within 3,000 feet of the project site, then a Phase I must be completed prior to taking choice limiting action related to the project. If evidence of contamination is found either on-site or through NEPAssist, then a Phase I Environmental Site Assessment will be undertaken. A Phase I is required for any activities related to multifamily housing. The Phase I must support a determination that the hazard will not affect health and safety of the occupants or conflict with the intended use of the site, including any mitigation measures used. If it does not, then documentation must be provided showing that the site has been cleaned up according to EPA or state standards for residential properties, which requires a letter of No Further Action (NFA) required from the appropriate state department/agency, or a RAO letter from the LSRP.</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Endangered Species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Grants Management Division staff will use the U.S. Fish and Wildlife Service's (FWS) IPaC interface (https://ecos.fws.gov/ipac/) to determine if critical habitats exist within the project area. If no critical habitats exist within the project area, then staff will request official species lists through IPaC and prepare a determination that the project will have No Effect. If the project is not exempt due to the nature of its activities, then identify what the activities are and document a No Effect finding in the ERR. Activities eligible for this exemption include rental assistance, purchasing existing buildings, completing interior renovations to existing buildings, and replacing exterior paint or siding on existing buildings. A No Effect determination can also be made if there are endangered species present in Champaign County, but a habitat assessment shows that there is no suitable habitat in the project area. Habitat information for applicable species can be obtained from the Region 3 FWS website (https://www.fws.gov/midwest/es/soc/). The ERR must contain the official species lists and an explanation of the reasoning for the determination. Staff will contact the appropriate office of the U.S. Fish and Wildlife Service if any determination other than No Effect is made.</w:t>
            </w:r>
          </w:p>
        </w:tc>
      </w:tr>
      <w:tr>
        <w:trPr>
          <w:cantSplit w:val="true"/>
        </w:trPr>
        <w:tc>
          <w:tcPr>
            <w:vMerge w:val="restart"/>
          </w:tcPr>
          <w:p>
            <w:r>
              <w:rPr>
                <w:b w:val="true"/>
              </w:rPr>
              <w:t>5</w:t>
            </w:r>
          </w:p>
        </w:tc>
        <w:tc>
          <w:p>
            <w:pPr>
              <w:keepNext w:val="true"/>
              <w:spacing w:after="0"/>
              <w:rPr>
                <w:rFonts w:ascii="Calibri" w:hAnsi="Calibri"/>
                <w:b/>
                <w:u w:val="single"/>
              </w:rPr>
            </w:pPr>
          </w:p>
        </w:tc>
        <w:tc>
          <w:p>
            <w:pPr>
              <w:spacing w:after="0"/>
            </w:pPr>
            <w:r>
              <w:rPr>
                <w:rFonts w:ascii="Calibri" w:hAnsi="Calibri"/>
                <w:color w:val="000000"/>
                <w:sz w:val="22"/>
              </w:rPr>
              <w:t xml:space="preserve">Explosive and Flammable Hazards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the proposed project involves development, construction, rehabilitation that will increase residential densities, or conversion, then Grants Management Division staff will study an aerial image showing a 1-mile radius around the proposed project area for evidence of above-ground storage tanks (ASTs). In Urbana, please consult with the GIS map showing the locations of hazardous materials sites to determine if ASTs exist at any of the sites shown in the map. If ASTs are located within 1-mile of the proposed project site, then the electronic calculator on the HUD Exchange will be used to determine the appropriate AST's Acceptable Separation Distance (ASD). If the proposed project's distance from the AST is not acceptable and if the project is not properly screened, then a barrier is required to mitigate the project. Otherwise, the project should be moved to a different location.</w:t>
            </w:r>
          </w:p>
        </w:tc>
      </w:tr>
      <w:tr>
        <w:trPr>
          <w:cantSplit w:val="true"/>
        </w:trPr>
        <w:tc>
          <w:tcPr>
            <w:vMerge w:val="restart"/>
          </w:tcPr>
          <w:p>
            <w:r>
              <w:rPr>
                <w:b w:val="true"/>
              </w:rPr>
              <w:t>6</w:t>
            </w:r>
          </w:p>
        </w:tc>
        <w:tc>
          <w:p>
            <w:pPr>
              <w:keepNext w:val="true"/>
              <w:spacing w:after="0"/>
              <w:rPr>
                <w:rFonts w:ascii="Calibri" w:hAnsi="Calibri"/>
                <w:b/>
                <w:u w:val="single"/>
              </w:rPr>
            </w:pPr>
          </w:p>
        </w:tc>
        <w:tc>
          <w:p>
            <w:pPr>
              <w:spacing w:after="0"/>
            </w:pPr>
            <w:r>
              <w:rPr>
                <w:rFonts w:ascii="Calibri" w:hAnsi="Calibri"/>
                <w:color w:val="000000"/>
                <w:sz w:val="22"/>
              </w:rPr>
              <w:t xml:space="preserve">Farmlands Protection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the project in question includes new construction, acquisition of undeveloped land, or conversion that could potentially convert one land use to another, then Grants Management Division staff must determine if the project site is located within the Champaign Urban Area using the U.S. Census Bureau Tigermap (https://tigerweb.geo.census.gov/tigerweb/). If it is not, then staff must determine whether or not another exemption at 7 CFR 658.2(a) applies. If no other exemption applies, then staff must determine if "Important Farmland," including prime farmland, unique farmland, or farmland of statewide or local importance regulated under the FPPA occur on the project site. The presence of "Important Farmland" would require staff to document alternatives and complete form AD-1006 with the support of the local USDA-NRCS staff. In the past, the Champaign USDA-NRCS office has been able to begin and assist in the process.</w:t>
            </w:r>
          </w:p>
        </w:tc>
      </w:tr>
      <w:tr>
        <w:trPr>
          <w:cantSplit w:val="true"/>
        </w:trPr>
        <w:tc>
          <w:tcPr>
            <w:vMerge w:val="restart"/>
          </w:tcPr>
          <w:p>
            <w:r>
              <w:rPr>
                <w:b w:val="true"/>
              </w:rPr>
              <w:t>7</w:t>
            </w:r>
          </w:p>
        </w:tc>
        <w:tc>
          <w:p>
            <w:pPr>
              <w:keepNext w:val="true"/>
              <w:spacing w:after="0"/>
              <w:rPr>
                <w:rFonts w:ascii="Calibri" w:hAnsi="Calibri"/>
                <w:b/>
                <w:u w:val="single"/>
              </w:rPr>
            </w:pPr>
          </w:p>
        </w:tc>
        <w:tc>
          <w:p>
            <w:pPr>
              <w:spacing w:after="0"/>
            </w:pPr>
            <w:r>
              <w:rPr>
                <w:rFonts w:ascii="Calibri" w:hAnsi="Calibri"/>
                <w:color w:val="000000"/>
                <w:sz w:val="22"/>
              </w:rPr>
              <w:t xml:space="preserve">Floodplain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none of the exceptions at 55.12(c) apply, then the appropriate FEMA FIRM will be examined to determine whether or not the project occurs in a FEMA-designated Special Flood Zone (see Flood Insurance section above). If the proposed site is within a FEMA-designated Special Flood Zone, then the Grants Management Division staff will proceed with the 8- or 5-Step Process as appropriate as described on the HUD Exchange.</w:t>
            </w:r>
          </w:p>
        </w:tc>
      </w:tr>
      <w:tr>
        <w:trPr>
          <w:cantSplit w:val="true"/>
        </w:trPr>
        <w:tc>
          <w:tcPr>
            <w:vMerge w:val="restart"/>
          </w:tcPr>
          <w:p>
            <w:r>
              <w:rPr>
                <w:b w:val="true"/>
              </w:rPr>
              <w:t>8</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Grants Management Division staff will verify that the project address is not listed as a local landmark or within an Urbana Historic District on the City Zoning Map. If the project is not located in Urbana, then staff must research historic properties and districts in the subject community to ensure that no historic resources will be affected. If any landmarks or structures within a historic district are effected, then the project scope must be reevaluated. Grants Management Division staff will certify using the Illinois Historic Preservation Association's (IHPA) HARGIS interface that the project's address is not listed as a historic resource. If so, the project will not commence at its proposed scope until clearance is given from IHPA. Grants Management Division staff will request and receive clearance from IHPA before the project can be undertaken. If ground disturbance on previously undisturbed ground will occur, then Grants Management Division staff will properly notify applicable tribal authorities identified through the Tribal Directory Assessment Tool (https://egis.hud.gov/tdat/). If consultation is undertaken with any tribal authorities, and the project scope will be reevaluated subject to any consultation that may occur. Grants Management Division staff will prepare an Area of Potential Effect (APE) Map, document the steps taken to identify historic properties, and summarize the basis for determining that no historic properties are present or affected. If historic properties are present or affected, then the scope of the project will be reevaluated subject to consultation with City of Urbana or other applicable historic preservation officials, IHPA, or tribal authorities. All ERRs to which Historic Preservation applies must at a minimum contain a map from IHPA HARGIS, documentation showing that the project site will not have an effect on local historic landmarks, a clearance letter from IHPA, and evidence of tribal notification if applicable.</w:t>
            </w:r>
          </w:p>
        </w:tc>
      </w:tr>
      <w:tr>
        <w:trPr>
          <w:cantSplit w:val="true"/>
        </w:trPr>
        <w:tc>
          <w:tcPr>
            <w:vMerge w:val="restart"/>
          </w:tcPr>
          <w:p>
            <w:r>
              <w:rPr>
                <w:b w:val="true"/>
              </w:rPr>
              <w:t>9</w:t>
            </w:r>
          </w:p>
        </w:tc>
        <w:tc>
          <w:p>
            <w:pPr>
              <w:keepNext w:val="true"/>
              <w:spacing w:after="0"/>
              <w:rPr>
                <w:rFonts w:ascii="Calibri" w:hAnsi="Calibri"/>
                <w:b/>
                <w:u w:val="single"/>
              </w:rPr>
            </w:pPr>
          </w:p>
        </w:tc>
        <w:tc>
          <w:p>
            <w:pPr>
              <w:spacing w:after="0"/>
            </w:pPr>
            <w:r>
              <w:rPr>
                <w:rFonts w:ascii="Calibri" w:hAnsi="Calibri"/>
                <w:color w:val="000000"/>
                <w:sz w:val="22"/>
              </w:rPr>
              <w:t xml:space="preserve">Noise Abatement and Control</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major roadways exist within 1,000 feet of the proposed project site or railroads exist within 3,000 feet of the proposed project, then Grants Management Division staff will use the Site DNL Calculator (https://www.hudexchange.info/programs/environmental-review/dnl-calculator/) to determine if noise levels exceed 65 dB. If so, then appropriate mitigation will be required prior to project approval. Railroad crossing information can be obtained through the Federal Railroad Administration (http://safetydata.fra.dot.gov/OfficeofSafety/PublicSite/Crossing/Xingqryloc.aspx), average daily trips can be determined through the Illinois Department of Transportation's Getting Around Illinois interface (https://www.gettingaroundillinois.com/gai.htm?mt=aadt), and airport information can be obtained through applicable FAA Form 5010 documents. Most local airports are exempt as determined through the Small Airport Worksheet.</w:t>
            </w:r>
          </w:p>
        </w:tc>
      </w:tr>
      <w:tr>
        <w:trPr>
          <w:cantSplit w:val="true"/>
        </w:trPr>
        <w:tc>
          <w:tcPr>
            <w:vMerge w:val="restart"/>
          </w:tcPr>
          <w:p>
            <w:r>
              <w:rPr>
                <w:b w:val="true"/>
              </w:rPr>
              <w:t>10</w:t>
            </w:r>
          </w:p>
        </w:tc>
        <w:tc>
          <w:p>
            <w:pPr>
              <w:keepNext w:val="true"/>
              <w:spacing w:after="0"/>
              <w:rPr>
                <w:rFonts w:ascii="Calibri" w:hAnsi="Calibri"/>
                <w:b/>
                <w:u w:val="single"/>
              </w:rPr>
            </w:pPr>
          </w:p>
        </w:tc>
        <w:tc>
          <w:p>
            <w:pPr>
              <w:spacing w:after="0"/>
            </w:pPr>
            <w:r>
              <w:rPr>
                <w:rFonts w:ascii="Calibri" w:hAnsi="Calibri"/>
                <w:color w:val="000000"/>
                <w:sz w:val="22"/>
              </w:rPr>
              <w:t xml:space="preserve">Sole Source Aquifers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the project includes any activities beyond acquisition, leasing, or rehabilitation of existing buildings, then Grants Management Division staff will determine if the project site is located on the Mahomet Aquifer. A map from the EPA's SSA Map Interface (https://epa.maps.arcgis.com/apps/webappviewer/index.html?id=9ebb047ba3ec41ada1877155fe31356b) must be included in the file to document that the project is not located above the Mahomet Aquifer. If the project site is located above the Mahomet Aquifer, then staff contact the EPA Region V staff dedicated to sole source aquifers for further guidance. Staff must document the EPA's comments and incorporate any mitigation measures if required. If a memorandum of understanding between HUD and the EPA for Region V, then staff must follow the procedures outlined in that memorandum instead of what is listed here.</w:t>
            </w:r>
          </w:p>
        </w:tc>
      </w:tr>
      <w:tr>
        <w:trPr>
          <w:cantSplit w:val="true"/>
        </w:trPr>
        <w:tc>
          <w:tcPr>
            <w:vMerge w:val="restart"/>
          </w:tcPr>
          <w:p>
            <w:r>
              <w:rPr>
                <w:b w:val="true"/>
              </w:rPr>
              <w:t>11</w:t>
            </w:r>
          </w:p>
        </w:tc>
        <w:tc>
          <w:p>
            <w:pPr>
              <w:keepNext w:val="true"/>
              <w:spacing w:after="0"/>
              <w:rPr>
                <w:rFonts w:ascii="Calibri" w:hAnsi="Calibri"/>
                <w:b/>
                <w:u w:val="single"/>
              </w:rPr>
            </w:pPr>
          </w:p>
        </w:tc>
        <w:tc>
          <w:p>
            <w:pPr>
              <w:spacing w:after="0"/>
            </w:pPr>
            <w:r>
              <w:rPr>
                <w:rFonts w:ascii="Calibri" w:hAnsi="Calibri"/>
                <w:color w:val="000000"/>
                <w:sz w:val="22"/>
              </w:rPr>
              <w:t xml:space="preserve">Wetlands Protection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If the project involves new construction, ground disturbance, or the expansion of a building's footprint, then Grants Management Division staff will verify that the proposed project site is not located within a wetland as shown on the Fish and Wildlife Service National Wetland Inventory Maps (https://www.fws.gov/wetlands/Data/Mapper.html). If the proposed site is shown to be within a wetland, then the 8-Step Process must be undertaken and applicable permits received from appropriate agencies.</w:t>
            </w:r>
          </w:p>
        </w:tc>
      </w:tr>
      <w:tr>
        <w:trPr>
          <w:cantSplit w:val="true"/>
        </w:trPr>
        <w:tc>
          <w:tcPr>
            <w:vMerge w:val="restart"/>
          </w:tcPr>
          <w:p>
            <w:r>
              <w:rPr>
                <w:b w:val="true"/>
              </w:rPr>
              <w:t>12</w:t>
            </w:r>
          </w:p>
        </w:tc>
        <w:tc>
          <w:p>
            <w:pPr>
              <w:keepNext w:val="true"/>
              <w:spacing w:after="0"/>
              <w:rPr>
                <w:rFonts w:ascii="Calibri" w:hAnsi="Calibri"/>
                <w:b/>
                <w:u w:val="single"/>
              </w:rPr>
            </w:pPr>
          </w:p>
        </w:tc>
        <w:tc>
          <w:p>
            <w:pPr>
              <w:spacing w:after="0"/>
            </w:pPr>
            <w:r>
              <w:rPr>
                <w:rFonts w:ascii="Calibri" w:hAnsi="Calibri"/>
                <w:color w:val="000000"/>
                <w:sz w:val="22"/>
              </w:rPr>
              <w:t xml:space="preserve">Environmental Justice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Grants Management Division staff will provide evidence that the proposed project site or surrounding neighborhood does not suffer from adverse environmental conditions and that the proposed action will not create an adverse and disproportionate environmental impact or aggravate an existing impact. Grants Management Division staff could also show evidence that the project is not in an environmental justice community of concern (demographics, income, etc.) or evidence that the project does not disproportionately affect a low-income or minority population using the EPA's EJScreen interface (https://ejscreen.epa.gov/mapper/index.html). If adverse effects on low-income or minority populations are anticipated, or if the project would move low-income or minority populations into areas where they could be impacted by environmental conditions, then Grants Management Division staff will provide documentation that that the affected community residents have been meaningfully informed and involved in a participatory planning process to address (remove, minimize, or mitigate) the adverse effect from the project and the resulting changes.</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19">
        <w:r>
          <w:rPr>
            <w:rStyle w:val="Hyperlink"/>
          </w:rPr>
          <w:t>Part-58-CEST-Format.docx</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08/19/2019 11:00</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HOME-Champaign-County-Neighborhood-Revitalization</w:t>
          </w:r>
        </w:p>
      </w:tc>
      <w:tc>
        <w:tcPr>
          <w:tcW w:w="3192" w:type="dxa"/>
        </w:tcPr>
        <w:p>
          <w:pPr>
            <w:pStyle w:val="Footer"/>
            <w:jc w:val="center"/>
          </w:pPr>
          <w:r>
            <w:t>Urbana, IL</w:t>
          </w:r>
        </w:p>
      </w:tc>
      <w:tc>
        <w:tcPr>
          <w:tcW w:w="3192" w:type="dxa"/>
        </w:tcPr>
        <w:p>
          <w:pPr>
            <w:pStyle w:val="Footer"/>
            <w:jc w:val="right"/>
          </w:pPr>
          <w:r>
            <w:t>900000010094894</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094894_08192024_900000010432343_1566226800973.pdf" Type="http://schemas.openxmlformats.org/officeDocument/2006/relationships/hyperlink" Id="rId13"/><Relationship TargetMode="External" Target="https://www.onecpd.info/reports/ESD_900000010094894_08192024_900000010427215_1566226800973.pdf" Type="http://schemas.openxmlformats.org/officeDocument/2006/relationships/hyperlink" Id="rId14"/><Relationship TargetMode="External" Target="https://www.onecpd.info/reports/ESD_900000010094894_08192024_900000010427211_1566226800973.pdf" Type="http://schemas.openxmlformats.org/officeDocument/2006/relationships/hyperlink" Id="rId15"/><Relationship TargetMode="External" Target="https://www.onecpd.info/reports/ESD_900000010094894_08192024_900000010427217_1566226800973.pdf" Type="http://schemas.openxmlformats.org/officeDocument/2006/relationships/hyperlink" Id="rId16"/><Relationship TargetMode="External" Target="https://www.onecpd.info/reports/ESD_900000010094894_08192024_900000010427219_1566226800973.pdf" Type="http://schemas.openxmlformats.org/officeDocument/2006/relationships/hyperlink" Id="rId17"/><Relationship TargetMode="External" Target="https://www.onecpd.info/reports/ESD_900000010094894_08192024_900000010427218_1566226800973.pdf" Type="http://schemas.openxmlformats.org/officeDocument/2006/relationships/hyperlink" Id="rId18"/><Relationship TargetMode="External" Target="https://www.onecpd.info/reports/ESD_900000010094894_08192024_900000010427225_1566226800973.docx" Type="http://schemas.openxmlformats.org/officeDocument/2006/relationships/hyperlink" Id="rId19"/></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