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c4e7e4be" w14:textId="c4e7e4be">
      <w:pPr>
        <w:jc w:val="center"/>
        <w15:collapsed w:val="false"/>
        <w:rPr>
          <w:rFonts w:ascii="Calibri" w:hAnsi="Calibri"/>
          <w:b/>
          <w:bCs/>
          <w:sz w:val="28"/>
          <w:szCs w:val="28"/>
        </w:rPr>
      </w:pPr>
      <w:r>
        <w:rPr>
          <w:rFonts w:ascii="Calibri" w:hAnsi="Calibri"/>
          <w:b/>
          <w:bCs/>
          <w:sz w:val="28"/>
          <w:szCs w:val="28"/>
        </w:rPr>
        <w:t xml:space="preserve">Environmental Review </w:t>
      </w: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sz w:val="30"/>
          <w:szCs w:val="30"/>
        </w:rPr>
      </w:pPr>
      <w:r>
        <w:rPr>
          <w:rFonts w:ascii="Calibri" w:hAnsi="Calibri"/>
          <w:b/>
          <w:bCs/>
        </w:rPr>
        <w:t>Pursuant to 24 CFR 58.35(a)</w:t>
      </w:r>
    </w:p>
    <w:p>
      <w:pPr>
        <w:widowControl w:val="false"/>
        <w:jc w:val="center"/>
        <w:rPr>
          <w:rFonts w:ascii="Calibri" w:hAnsi="Calibri"/>
          <w:szCs w:val="22"/>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neighborhood-tree-planting-program</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p>
        </w:tc>
        <w:tc>
          <w:tcPr>
            <w:tcW w:w="7128" w:type="dxa"/>
          </w:tcPr>
          <w:p>
            <w:pPr>
              <w:spacing w:beforeAutospacing="true" w:afterAutospacing="true"/>
            </w:pPr>
            <w:r>
              <w:rPr/>
              <w:t xml:space="preserve">900000010086202</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ROYAL OAK, DEPUTY DIRECTOR COMMUNITY DEVELOPMENT ROYAL OAK MI, 48068</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bookmarkStart w:id="0" w:name="_GoBack"/>
      <w:bookmarkEnd w:id="0"/>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Joseph M. Murphy</w:t>
            </w:r>
          </w:p>
        </w:tc>
      </w:tr>
    </w:tbl>
    <w:p>
      <w:pPr>
        <w:rPr>
          <w:rFonts w:ascii="Calibri" w:hAnsi="Calibri"/>
          <w:sz w:val="22"/>
          <w:szCs w:val="22"/>
        </w:rPr>
      </w:pPr>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Michael C. Fournier, Mayor</w:t>
            </w:r>
          </w:p>
        </w:tc>
      </w:tr>
    </w:tbl>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4524 Elmhurst, Royal Oak, MI </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The following census tracks - block groups: 1830-3, 1832-1 &amp; 1833-3.</w:t>
            </w:r>
          </w:p>
        </w:tc>
      </w:tr>
    </w:tbl>
    <w:p>
      <w:pPr>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628"/>
        <w:gridCol w:w="6228"/>
      </w:tblGrid>
      <w:tr>
        <w:tc>
          <w:tcPr>
            <w:tcW w:w="2628" w:type="dxa"/>
            <w:shd w:val="clear" w:color="auto" w:fill="auto"/>
          </w:tcPr>
          <w:p>
            <w:r>
              <w:rPr>
                <w:b/>
              </w:rPr>
              <w:t>Direct Comments to:</w:t>
            </w:r>
          </w:p>
        </w:tc>
        <w:tc>
          <w:tcPr>
            <w:tcW w:w="6228" w:type="dxa"/>
            <w:shd w:val="clear" w:color="auto" w:fill="auto"/>
          </w:tcPr>
          <w:p>
            <w:pPr>
              <w:spacing w:beforeAutospacing="true" w:afterAutospacing="true"/>
            </w:pPr>
            <w:r>
              <w:rPr/>
              <w:t xml:space="preserve">Joseph M Murphy</w:t>
            </w:r>
            <w:r>
              <w:rPr/>
              <w:br/>
              <w:t xml:space="preserve"/>
            </w:r>
            <w:r>
              <w:rPr/>
              <w:t xml:space="preserve">Planning Division</w:t>
            </w:r>
            <w:r>
              <w:rPr/>
              <w:br/>
              <w:t xml:space="preserve"/>
            </w:r>
            <w:r>
              <w:rPr/>
              <w:t xml:space="preserve">Community Development Department</w:t>
            </w:r>
            <w:r>
              <w:rPr/>
              <w:br/>
              <w:t xml:space="preserve"/>
            </w:r>
            <w:r>
              <w:rPr/>
              <w:t xml:space="preserve">211 Williams St</w:t>
            </w:r>
            <w:r>
              <w:rPr/>
              <w:br/>
              <w:t xml:space="preserve"/>
            </w:r>
            <w:r>
              <w:rPr/>
              <w:t xml:space="preserve">Royal Oak MI 48067</w:t>
            </w:r>
            <w:r>
              <w:rPr/>
              <w:br/>
              <w:t xml:space="preserve"/>
            </w:r>
            <w:r>
              <w:rPr/>
              <w:br/>
              <w:t xml:space="preserve"/>
            </w:r>
            <w:r>
              <w:rPr/>
              <w:t xml:space="preserve">E joem@romi.gov</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In the past 10 years, many trees have been removed within the city's rights-of-way, between the back of curb and sidewalk OR within city parks due to disease or age. CDBG funds will be utilized to purchase and plant trees within the city's rights-of-way. The size of the public right-of-way will not change. The project's ground disturbing activities are limited strictly to twice the diameter needed to plant the root ball of individual trees.</w:t>
            </w:r>
          </w:p>
        </w:tc>
      </w:tr>
    </w:tbl>
    <w:p>
      <w:pPr>
        <w:rPr>
          <w:rFonts w:ascii="Calibri" w:hAnsi="Calibri"/>
          <w:sz w:val="22"/>
          <w:szCs w:val="22"/>
        </w:rPr>
      </w:pPr>
    </w:p>
    <w:p>
      <w:pPr>
        <w:rPr>
          <w:rFonts w:ascii="Calibri" w:hAnsi="Calibri"/>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keepNext/>
        <w:rPr>
          <w:rFonts w:asciiTheme="minorHAnsi" w:hAnsiTheme="minorHAnsi"/>
          <w:sz w:val="22"/>
          <w:szCs w:val="22"/>
        </w:rPr>
      </w:pPr>
      <w:hyperlink r:id="rId20">
        <w:r>
          <w:rPr>
            <w:rStyle w:val="Hyperlink"/>
          </w:rPr>
          <w:t>PY 19-20 cbdg target areas w bgs 11 x 17.pdf</w:t>
        </w:r>
      </w:hyperlink>
    </w:p>
    <w:p>
      <w:pPr>
        <w:keepNext/>
        <w:rPr>
          <w:rFonts w:asciiTheme="minorHAnsi" w:hAnsiTheme="minorHAnsi"/>
          <w:sz w:val="22"/>
          <w:szCs w:val="22"/>
        </w:rPr>
      </w:pPr>
      <w:hyperlink r:id="rId21">
        <w:r>
          <w:rPr>
            <w:rStyle w:val="Hyperlink"/>
          </w:rPr>
          <w:t>PY 19-20 cbdg target areas w bgs 11 x 17(1).pdf</w:t>
        </w:r>
      </w:hyperlink>
    </w:p>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rPr>
                <w:b/>
              </w:rPr>
            </w:pPr>
            <w:r>
              <w:rPr>
                <w:b/>
              </w:rPr>
              <w:t xml:space="preserve">Categorically Excluded per 24 CFR 58.35(a), and subject to laws and authorities at 58.5:  </w:t>
            </w:r>
          </w:p>
        </w:tc>
      </w:tr>
    </w:tbl>
    <w:p/>
    <w:p>
      <w:pPr>
        <w:rPr>
          <w:rFonts w:asciiTheme="minorHAnsi" w:hAnsiTheme="minorHAnsi"/>
          <w:b/>
          <w:sz w:val="22"/>
          <w:szCs w:val="22"/>
        </w:rPr>
      </w:pPr>
      <w:r>
        <w:rPr>
          <w:rFonts w:asciiTheme="minorHAnsi" w:hAnsiTheme="minorHAnsi"/>
          <w:b/>
          <w:sz w:val="22"/>
          <w:szCs w:val="22"/>
        </w:rPr>
        <w:t>Determination:</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459"/>
        <w:gridCol w:w="3411"/>
      </w:tblGrid>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categorically excluded activity/project converts to </w:t>
            </w:r>
            <w:r>
              <w:rPr>
                <w:rFonts w:cs="Arial" w:asciiTheme="minorHAnsi" w:hAnsiTheme="minorHAnsi"/>
                <w:b/>
                <w:sz w:val="22"/>
                <w:szCs w:val="22"/>
              </w:rPr>
              <w:t>EXEMPT</w:t>
            </w:r>
            <w:r>
              <w:rPr>
                <w:rFonts w:cs="Arial" w:asciiTheme="minorHAnsi" w:hAnsiTheme="minorHAnsi"/>
                <w:sz w:val="22"/>
                <w:szCs w:val="22"/>
              </w:rPr>
              <w:t xml:space="preserve"> per Section 58.34(a)(12), because it does not require any mitigation for compliance with any listed statutes or authorities, nor requires any formal permit or license; </w:t>
            </w:r>
            <w:r>
              <w:rPr>
                <w:rFonts w:cs="Arial" w:asciiTheme="minorHAnsi" w:hAnsiTheme="minorHAnsi"/>
                <w:b/>
                <w:sz w:val="22"/>
                <w:szCs w:val="22"/>
              </w:rPr>
              <w:t>Funds may be committed and drawn down after certification of this part</w:t>
            </w:r>
            <w:r>
              <w:rPr>
                <w:rFonts w:cs="Arial" w:asciiTheme="minorHAnsi" w:hAnsiTheme="minorHAnsi"/>
                <w:sz w:val="22"/>
                <w:szCs w:val="22"/>
              </w:rPr>
              <w:t xml:space="preserve"> for this (now) EXEMPT project; OR</w:t>
            </w:r>
          </w:p>
          <w:p>
            <w:pPr>
              <w:keepNext/>
              <w:widowControl w:val="false"/>
              <w:jc w:val="both"/>
              <w:rPr>
                <w:rFonts w:asciiTheme="minorHAnsi" w:hAnsiTheme="minorHAnsi"/>
                <w:sz w:val="22"/>
                <w:szCs w:val="22"/>
              </w:rPr>
            </w:pPr>
          </w:p>
        </w:tc>
      </w:tr>
      <w:tr>
        <w:trPr>
          <w:cantSplit/>
        </w:trPr>
        <w:tc>
          <w:tcPr>
            <w:tcW w:w="304" w:type="pct"/>
            <w:hideMark/>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This categorically excluded activity/project cannot convert to Exempt status because one or more statutes or authorities listed at Section 58.5 requires formal consultation or mitigation. Complete consultation/mitigation protocol requirements,</w:t>
            </w:r>
            <w:r>
              <w:rPr>
                <w:rFonts w:cs="Arial" w:asciiTheme="minorHAnsi" w:hAnsiTheme="minorHAnsi"/>
                <w:b/>
                <w:sz w:val="22"/>
                <w:szCs w:val="22"/>
              </w:rPr>
              <w:t xml:space="preserve"> publish NOI/RROF and obtain “Authority to Use Grant Funds”</w:t>
            </w:r>
            <w:r>
              <w:rPr>
                <w:rFonts w:cs="Arial" w:asciiTheme="minorHAnsi" w:hAnsiTheme="minorHAnsi"/>
                <w:sz w:val="22"/>
                <w:szCs w:val="22"/>
              </w:rPr>
              <w:t xml:space="preserve"> (HUD 7015.16) per Section 58.70 and 58.71 before committing or drawing down any funds; OR</w:t>
            </w:r>
          </w:p>
          <w:p>
            <w:pPr>
              <w:keepNext/>
              <w:widowControl w:val="false"/>
              <w:jc w:val="both"/>
              <w:rPr>
                <w:rFonts w:asciiTheme="minorHAnsi" w:hAnsiTheme="minorHAnsi"/>
                <w:sz w:val="22"/>
                <w:szCs w:val="22"/>
              </w:rPr>
            </w:pPr>
          </w:p>
        </w:tc>
      </w:tr>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project is not categorically excluded OR, if originally categorically excluded, is now subject to a full Environmental Assessment according to Part 58 Subpart E due to extraordinary circumstances (Section 58.35(c)). </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22">
        <w:r>
          <w:rPr>
            <w:rStyle w:val="Hyperlink"/>
          </w:rPr>
          <w:t>tree planting - executed.pdf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bCs/>
          <w:sz w:val="22"/>
          <w:szCs w:val="22"/>
        </w:rPr>
      </w:pPr>
    </w:p>
    <w:p/>
    <w:p>
      <w:pPr>
        <w:rPr>
          <w:rFonts w:asciiTheme="minorHAnsi" w:hAnsiTheme="minorHAnsi"/>
          <w:b/>
          <w:bCs/>
          <w:sz w:val="22"/>
          <w:szCs w:val="22"/>
        </w:rPr>
      </w:pPr>
    </w:p>
    <w:p>
      <w:pPr>
        <w:rPr>
          <w:rFonts w:asciiTheme="minorHAnsi" w:hAnsiTheme="minorHAnsi"/>
          <w:b/>
          <w:u w:val="single"/>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 Project Identification Number</w:t>
            </w:r>
          </w:p>
        </w:tc>
        <w:tc>
          <w:tcPr>
            <w:tcW w:w="2696" w:type="dxa"/>
          </w:tcPr>
          <w:p>
            <w:pPr>
              <w:rPr>
                <w:b/>
              </w:rPr>
            </w:pPr>
            <w:r>
              <w:rPr>
                <w:b/>
              </w:rPr>
              <w:t xml:space="preserve">HUD Program </w:t>
            </w:r>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B-19-MC-26-0011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Assisted or Insured Amount: </w:t>
            </w:r>
          </w:p>
          <w:p/>
        </w:tc>
        <w:tc>
          <w:tcPr>
            <w:tcW w:w="5778" w:type="dxa"/>
            <w:shd w:val="clear" w:color="auto" w:fill="auto"/>
          </w:tcPr>
          <w:p>
            <w:pPr>
              <w:spacing w:beforeAutospacing="true" w:afterAutospacing="true"/>
            </w:pPr>
            <w:r>
              <w:rPr/>
              <w:t xml:space="preserve">$150,000.00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w:t>
            </w:r>
          </w:p>
        </w:tc>
        <w:tc>
          <w:tcPr>
            <w:tcW w:w="4608" w:type="dxa"/>
          </w:tcPr>
          <w:p>
            <w:pPr>
              <w:spacing w:beforeAutospacing="true" w:afterAutospacing="true"/>
            </w:pPr>
            <w:r>
              <w:rPr/>
              <w:t xml:space="preserve">$150,000.00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a CBRS Unit. Therefore, this project has no potential to impact a CBRS Unit and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the Clean Air Act.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or does not affect a Coastal Zone as defined in the state Coastal Management Plan.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Site contamination was evaluated as follows: None of the above.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Effect on listed species due to the nature of the activities involved in the project.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Section 106 consultation there are No Historic Properties Affected because there are no historic properties present. The project is in compliance with Section 106.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HUD's noise regulation. The project is in compliance with HUD's Noise regulation.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area.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this section.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within proximity of a NWSRS river. The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in the project's total environmental review. The project is in compliance with Executive Order 12898.</w:t>
            </w: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b/>
        </w:rPr>
      </w:pPr>
      <w:r>
        <w:rPr>
          <w:rFonts w:asciiTheme="minorHAnsi" w:hAnsiTheme="minorHAnsi"/>
          <w:b/>
        </w:rPr>
        <w:t xml:space="preserve">Mitigation Measures and Conditions [40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keepNext/>
              <w:widowControl w:val="false"/>
              <w:rPr>
                <w:b/>
              </w:rPr>
            </w:pPr>
            <w: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within 15,000 feet of a military airport or 2,500 feet of a civilian airport. The project is in compliance with Airport Hazards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3">
        <w:r>
          <w:rPr>
            <w:rStyle w:val="Hyperlink"/>
          </w:rPr>
          <w:t>Airport Clear Zone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keepNext/>
        <w:widowControl w:val="false"/>
        <w:numPr>
          <w:ilvl w:val="0"/>
          <w:numId w:val="5"/>
        </w:numPr>
        <w:tabs>
          <w:tab w:val="clear" w:pos="1080"/>
          <w:tab w:val="num" w:pos="720"/>
        </w:tabs>
        <w:ind w:left="720"/>
        <w:rPr>
          <w:rFonts w:ascii="Calibri" w:hAnsi="Calibri"/>
          <w:b/>
          <w:sz w:val="22"/>
          <w:szCs w:val="22"/>
        </w:rPr>
      </w:pPr>
      <w:r>
        <w:rPr>
          <w:rFonts w:ascii="Calibri" w:hAnsi="Calibri"/>
          <w:b/>
          <w:sz w:val="22"/>
          <w:szCs w:val="22"/>
        </w:rPr>
        <w:t>Is the project located in a CBRS Unit?</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82"/>
        <w:gridCol w:w="2607"/>
      </w:tblGrid>
      <w:tr>
        <w:trPr>
          <w:trHeight w:val="337"/>
        </w:trPr>
        <w:tc>
          <w:tcPr>
            <w:tcW w:w="767" w:type="dxa"/>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8028" w:type="dxa"/>
          </w:tcPr>
          <w:p>
            <w:pPr>
              <w:keepNext/>
              <w:widowControl w:val="false"/>
              <w:rPr>
                <w:rFonts w:ascii="Calibri" w:hAnsi="Calibri"/>
              </w:rPr>
            </w:pPr>
            <w:r>
              <w:rPr>
                <w:rFonts w:ascii="Calibri" w:hAnsi="Calibri"/>
              </w:rPr>
              <w:t>No</w:t>
            </w:r>
          </w:p>
        </w:tc>
      </w:tr>
    </w:tbl>
    <w:p>
      <w:pPr>
        <w:widowControl w:val="false"/>
        <w:ind w:left="1440" w:firstLine="720"/>
        <w:rPr>
          <w:rFonts w:ascii="Calibri" w:hAnsi="Calibri"/>
          <w:sz w:val="22"/>
          <w:szCs w:val="22"/>
        </w:rPr>
      </w:pPr>
    </w:p>
    <w:p>
      <w:pPr>
        <w:ind w:left="2160"/>
        <w:rPr>
          <w:rFonts w:ascii="Calibri" w:hAnsi="Calibri"/>
          <w:sz w:val="22"/>
          <w:szCs w:val="22"/>
        </w:rPr>
      </w:pPr>
      <w:r>
        <w:rPr>
          <w:rFonts w:ascii="Calibri" w:hAnsi="Calibri"/>
          <w:iCs/>
          <w:sz w:val="22"/>
          <w:szCs w:val="22"/>
        </w:rPr>
        <w:t>Document and upload map and documentation below.</w:t>
      </w:r>
      <w:r>
        <w:rPr>
          <w:rFonts w:ascii="Calibri" w:hAnsi="Calibri"/>
          <w:sz w:val="22"/>
          <w:szCs w:val="22"/>
        </w:rPr>
        <w:t xml:space="preserve"> </w:t>
      </w:r>
    </w:p>
    <w:p>
      <w:pPr>
        <w:widowControl w:val="false"/>
        <w:ind w:left="1440"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66"/>
        <w:gridCol w:w="2623"/>
      </w:tblGrid>
      <w:tr>
        <w:trPr>
          <w:trHeight w:val="337"/>
        </w:trPr>
        <w:tc>
          <w:tcPr>
            <w:tcW w:w="767" w:type="dxa"/>
          </w:tcPr>
          <w:p>
            <w:pPr>
              <w:keepNext/>
              <w:widowControl w:val="false"/>
              <w:rPr>
                <w:rFonts w:ascii="Calibri" w:hAnsi="Calibri"/>
              </w:rPr>
            </w:pPr>
            <w:r>
              <w:rPr>
                <w:rFonts w:ascii="Calibri" w:hAnsi="Calibri"/>
              </w:rPr>
            </w:r>
          </w:p>
        </w:tc>
        <w:tc>
          <w:tcPr>
            <w:tcW w:w="8028" w:type="dxa"/>
          </w:tcPr>
          <w:p>
            <w:pPr>
              <w:keepNext/>
              <w:widowControl w:val="false"/>
              <w:rPr>
                <w:rFonts w:ascii="Calibri" w:hAnsi="Calibri"/>
              </w:rPr>
            </w:pPr>
            <w:r>
              <w:rPr>
                <w:rFonts w:ascii="Calibri" w:hAnsi="Calibri"/>
              </w:rPr>
              <w:t>Yes</w:t>
            </w:r>
          </w:p>
        </w:tc>
      </w:tr>
    </w:tbl>
    <w:p>
      <w:pPr>
        <w:widowControl w:val="false"/>
        <w:ind w:firstLine="720"/>
        <w:rPr>
          <w:rFonts w:ascii="Calibri" w:hAnsi="Calibri"/>
          <w:sz w:val="22"/>
          <w:szCs w:val="22"/>
        </w:rPr>
      </w:pP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a CBRS Unit. Therefore, this project has no potential to impact a CBRS Unit and is in compliance with the Coastal Barrier Resources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4">
        <w:r>
          <w:rPr>
            <w:rStyle w:val="Hyperlink"/>
          </w:rPr>
          <w:t>Coastal Barrier Resource System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14"/>
        <w:gridCol w:w="2075"/>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p>
      <w:pPr>
        <w:widowControl w:val="false"/>
        <w:ind w:firstLine="720"/>
        <w:rPr>
          <w:rFonts w:asciiTheme="minorHAnsi" w:hAnsiTheme="minorHAnsi"/>
          <w:sz w:val="22"/>
          <w:szCs w:val="22"/>
        </w:rPr>
      </w:pPr>
      <w:r>
        <w:rPr>
          <w:rFonts w:asciiTheme="minorHAnsi" w:hAnsiTheme="minorHAnsi"/>
          <w:sz w:val="22"/>
          <w:szCs w:val="22"/>
        </w:rPr>
        <w:tab/>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26">
        <w:r>
          <w:rPr>
            <w:rStyle w:val="Hyperlink"/>
          </w:rPr>
          <w:t>Flood Insurance &amp; Floodplain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the Clean Air Act. The project is in compliance with the Clean Air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27">
        <w:r>
          <w:rPr>
            <w:rStyle w:val="Hyperlink"/>
          </w:rPr>
          <w:t>Air Quality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or does not affect a Coastal Zone as defined in the state Coastal Management Plan.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8">
        <w:r>
          <w:rPr>
            <w:rStyle w:val="Hyperlink"/>
          </w:rPr>
          <w:t>Coastal Zone Management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0"/>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1.</w:t>
        <w:tab/>
        <w:t>How was site contamination evaluated? Select all that apply. Document and upload documentation and reports and evaluation explanation of site contamination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29"/>
        <w:gridCol w:w="274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American Society for Testing and Materials (ASTM) Phase I Environmental Site Assessment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Phase II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Remediation or clean-up plan</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Vapor Encroachment Screening</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rPr>
                <w:lang w:val="fr-FR"/>
              </w:rPr>
            </w:pPr>
            <w:r>
              <w:rPr>
                <w:rFonts w:ascii="Calibri" w:hAnsi="Calibri"/>
                <w:lang w:val="fr-FR"/>
              </w:rPr>
              <w:t xml:space="preserve">The work is limited to the city's public rights-of-way. There are no occupants. The use of the area will remain landscaped public rights-of-way.</w:t>
            </w:r>
          </w:p>
        </w:tc>
      </w:tr>
    </w:tbl>
    <w:p>
      <w:pPr>
        <w:widowControl w:val="false"/>
        <w:ind w:left="1440"/>
        <w:rPr>
          <w:rFonts w:asciiTheme="minorHAnsi" w:hAnsiTheme="minorHAnsi"/>
          <w:sz w:val="22"/>
          <w:szCs w:val="22"/>
          <w:lang w:val="fr-FR"/>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widowControl w:val="false"/>
        <w:rPr>
          <w:rFonts w:ascii="Calibri" w:hAnsi="Calibri"/>
          <w:szCs w:val="22"/>
        </w:rPr>
      </w:pPr>
    </w:p>
    <w:p>
      <w:pPr>
        <w:widowControl w:val="false"/>
        <w:ind w:left="720" w:firstLine="720"/>
        <w:rPr>
          <w:rFonts w:ascii="Calibri" w:hAnsi="Calibri"/>
          <w:sz w:val="22"/>
          <w:szCs w:val="22"/>
        </w:rPr>
      </w:pPr>
    </w:p>
    <w:p>
      <w:pPr>
        <w:rPr>
          <w:rFonts w:ascii="Calibri" w:hAnsi="Calibri"/>
          <w:b/>
          <w:i/>
          <w:sz w:val="22"/>
          <w:szCs w:val="22"/>
        </w:rPr>
      </w:pPr>
    </w:p>
    <w:p>
      <w:pPr>
        <w:jc w:val="both"/>
        <w:rPr>
          <w:rFonts w:ascii="Calibri" w:hAnsi="Calibri"/>
          <w:b/>
          <w:sz w:val="22"/>
          <w:szCs w:val="22"/>
          <w:u w:val="single"/>
        </w:rPr>
      </w:pPr>
      <w:r>
        <w:rPr>
          <w:rFonts w:ascii="Calibri" w:hAnsi="Calibri"/>
          <w:b/>
          <w:sz w:val="22"/>
          <w:szCs w:val="22"/>
          <w:u w:val="single"/>
        </w:rPr>
        <w:t>Screen Summary</w:t>
      </w:r>
    </w:p>
    <w:p>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jc w:val="both"/>
              <w:rPr>
                <w:rFonts w:ascii="Calibri" w:hAnsi="Calibri"/>
                <w:b/>
              </w:rPr>
            </w:pPr>
            <w:r>
              <w:rPr>
                <w:rFonts w:ascii="Calibri" w:hAnsi="Calibri"/>
              </w:rPr>
              <w:t xml:space="preserve">Site contamination was evaluated as follows: None of the above.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bl>
    <w:p>
      <w:pPr>
        <w:jc w:val="both"/>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9">
        <w:r>
          <w:rPr>
            <w:rStyle w:val="Hyperlink"/>
          </w:rPr>
          <w:t>Hazardous Toxic Radio Sub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28"/>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13"/>
        <w:gridCol w:w="2557"/>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p>
      <w:pPr>
        <w:widowControl w:val="false"/>
        <w:ind w:left="1440"/>
        <w:rPr>
          <w:rFonts w:asciiTheme="minorHAnsi" w:hAnsiTheme="minorHAnsi"/>
          <w:sz w:val="22"/>
          <w:szCs w:val="22"/>
        </w:rPr>
      </w:pPr>
      <w:r>
        <w:rPr>
          <w:rFonts w:asciiTheme="minorHAnsi" w:hAnsiTheme="minorHAnsi"/>
          <w:sz w:val="22"/>
          <w:szCs w:val="22"/>
        </w:rPr>
        <w:t>This selection is only appropriate if none of the activities involved in the project have potential to affect species or habitats. Examples of actions without potential to affect listed species may include: purchasing existing buildings, completing interior renovations to existing buildings, and replacing exterior paint or siding on existing buildings.</w:t>
      </w: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52"/>
        <w:gridCol w:w="3018"/>
      </w:tblGrid>
      <w:tr>
        <w:tc>
          <w:tcPr>
            <w:tcW w:w="0" w:type="auto"/>
          </w:tcPr>
          <w:p>
            <w:pPr>
              <w:rPr>
                <w:rFonts w:ascii="Calibri" w:hAnsi="Calibri"/>
              </w:rPr>
            </w:pP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84"/>
        <w:gridCol w:w="2586"/>
      </w:tblGrid>
      <w:tr>
        <w:tc>
          <w:tcPr>
            <w:tcW w:w="0" w:type="auto"/>
          </w:tcPr>
          <w:p>
            <w:pPr>
              <w:rPr>
                <w:rFonts w:ascii="Calibri" w:hAnsi="Calibri"/>
              </w:rPr>
            </w:pP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will have No Effect on listed species due to the nature of the activities involved in the project. This project is in compliance with the Endangered Species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1">
        <w:r>
          <w:rPr>
            <w:rStyle w:val="Hyperlink"/>
          </w:rPr>
          <w:t>Endangered Species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6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is in compliance with explosive and flammable hazard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2">
        <w:r>
          <w:rPr>
            <w:rStyle w:val="Hyperlink"/>
          </w:rPr>
          <w:t>Explosive and Flammable Operations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0">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3">
        <w:r>
          <w:rPr>
            <w:rStyle w:val="Hyperlink"/>
          </w:rPr>
          <w:t>Farmlands Protection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5"/>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8"/>
        <w:gridCol w:w="1742"/>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Calibri" w:hAnsi="Calibri"/>
          <w:sz w:val="22"/>
          <w:szCs w:val="22"/>
        </w:rPr>
      </w:pPr>
      <w:r>
        <w:rPr>
          <w:rFonts w:ascii="Calibri" w:hAnsi="Calibri"/>
          <w:sz w:val="22"/>
          <w:szCs w:val="22"/>
        </w:rPr>
        <w:t xml:space="preserve"> </w:t>
      </w:r>
    </w:p>
    <w:p>
      <w:pPr>
        <w:ind w:left="720"/>
        <w:rPr>
          <w:rFonts w:ascii="Calibri" w:hAnsi="Calibri"/>
          <w:sz w:val="22"/>
          <w:szCs w:val="22"/>
        </w:rPr>
      </w:pPr>
      <w:hyperlink r:id="rId34">
        <w:r>
          <w:rPr>
            <w:rStyle w:val="Hyperlink"/>
          </w:rPr>
          <w:t>Flood Risk Map 08-05-2015.pdf</w:t>
        </w:r>
      </w:hyperlink>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81"/>
        <w:gridCol w:w="475"/>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57"/>
        <w:gridCol w:w="519"/>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5">
        <w:r>
          <w:rPr>
            <w:rStyle w:val="Hyperlink"/>
          </w:rPr>
          <w:t>Flood Insurance &amp; Floodplain documentation(1).pdf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1">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hideMark/>
          </w:tcPr>
          <w:p>
            <w:pPr>
              <w:rPr>
                <w:rFonts w:ascii="Calibri" w:hAnsi="Calibri"/>
              </w:rPr>
            </w:pPr>
            <w:r>
              <w:rPr>
                <w:rFonts w:ascii="Calibri" w:hAnsi="Calibri"/>
              </w:rPr>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b/>
          <w:sz w:val="22"/>
          <w:szCs w:val="22"/>
        </w:rPr>
      </w:pPr>
    </w:p>
    <w:p>
      <w:pPr>
        <w:keepNext/>
        <w:widowControl w:val="false"/>
        <w:rPr>
          <w:rFonts w:asciiTheme="minorHAnsi" w:hAnsiTheme="minorHAnsi"/>
          <w:b/>
          <w:i/>
          <w:sz w:val="22"/>
          <w:szCs w:val="22"/>
        </w:rPr>
      </w:pPr>
      <w:r>
        <w:rPr>
          <w:rFonts w:asciiTheme="minorHAnsi" w:hAnsiTheme="minorHAnsi"/>
          <w:b/>
          <w:i/>
          <w:sz w:val="22"/>
          <w:szCs w:val="22"/>
        </w:rPr>
        <w:t>Step 1 – Initiate Consultation</w:t>
      </w:r>
    </w:p>
    <w:p>
      <w:pPr>
        <w:keepNext/>
        <w:widowControl w:val="false"/>
        <w:rPr>
          <w:rFonts w:asciiTheme="minorHAnsi" w:hAnsiTheme="minorHAnsi"/>
          <w:b/>
          <w:sz w:val="22"/>
          <w:szCs w:val="22"/>
        </w:rPr>
      </w:pPr>
      <w:r>
        <w:rPr>
          <w:rFonts w:asciiTheme="minorHAnsi" w:hAnsiTheme="minorHAnsi"/>
          <w:b/>
          <w:sz w:val="22"/>
          <w:szCs w:val="22"/>
        </w:rPr>
        <w:t>Select all consulting parties below (check all that apply):</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State Historic Preservation Offer (SHPO)</w:t>
            </w:r>
          </w:p>
        </w:tc>
        <w:tc>
          <w:tcPr>
            <w:vAlign w:val="bottom"/>
          </w:tcPr>
          <w:p>
            <w:pPr>
              <w:spacing w:beforeAutospacing="true" w:afterAutospacing="true"/>
              <w:jc w:val="right"/>
            </w:pPr>
            <w:r>
              <w:rPr>
                <w:rFonts w:ascii="Calibri" w:hAnsi="Calibri"/>
                <w:color w:val="000000"/>
                <w:sz w:val="22"/>
              </w:rPr>
              <w:t xml:space="preserve">In progress</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28"/>
        <w:gridCol w:w="4428"/>
      </w:tblGrid>
      <w:tr>
        <w:trPr>
          <w:trHeight w:val="274"/>
        </w:trPr>
        <w:tc>
          <w:tcPr>
            <w:tcW w:w="0" w:type="auto"/>
          </w:tcPr>
          <w:p>
            <w:pPr>
              <w:keepNext/>
              <w:widowControl w:val="false"/>
              <w:rPr>
                <w:rFonts w:ascii="Calibri" w:hAnsi="Calibri"/>
              </w:rPr>
            </w:pPr>
          </w:p>
        </w:tc>
        <w:tc>
          <w:tcPr>
            <w:tcW w:w="0" w:type="auto"/>
          </w:tcPr>
          <w:p>
            <w:pPr>
              <w:keepNext/>
              <w:widowControl w:val="false"/>
              <w:rPr>
                <w:rFonts w:ascii="Calibri" w:hAnsi="Calibri"/>
              </w:rPr>
            </w:pPr>
          </w:p>
        </w:tc>
      </w:tr>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Advisory Council on Historic Preservation</w:t>
            </w:r>
          </w:p>
        </w:tc>
        <w:tc>
          <w:tcPr>
            <w:vAlign w:val="bottom"/>
          </w:tcPr>
          <w:p>
            <w:pPr>
              <w:spacing w:beforeAutospacing="true" w:afterAutospacing="true"/>
              <w:jc w:val="right"/>
            </w:pPr>
            <w:r>
              <w:rPr>
                <w:rFonts w:ascii="Calibri" w:hAnsi="Calibri"/>
                <w:color w:val="000000"/>
                <w:sz w:val="22"/>
              </w:rPr>
              <w:t xml:space="preserve">Not Required</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99"/>
        <w:gridCol w:w="2771"/>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Indian Tribes, including Tribal Historic Preservation Officers (THPOs) or Native Hawaiian Organizations (NHOs)</w:t>
            </w:r>
          </w:p>
        </w:tc>
      </w:tr>
    </w:tbl>
    <w:p>
      <w:pPr>
        <w:keepNext/>
        <w:widowControl w:val="false"/>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95"/>
        <w:gridCol w:w="1675"/>
      </w:tblGrid>
      <w:tr>
        <w:trPr>
          <w:trHeight w:val="495"/>
        </w:trPr>
        <w:tc>
          <w:tcPr>
            <w:tcW w:w="0" w:type="auto"/>
            <w:hideMark/>
          </w:tcPr>
          <w:p>
            <w:pPr>
              <w:rPr>
                <w:rFonts w:ascii="Calibri" w:hAnsi="Calibri"/>
              </w:rPr>
            </w:pPr>
          </w:p>
        </w:tc>
        <w:tc>
          <w:tcPr>
            <w:tcW w:w="0" w:type="auto"/>
            <w:hideMark/>
          </w:tcPr>
          <w:p>
            <w:pPr>
              <w:rPr>
                <w:rFonts w:ascii="Calibri" w:hAnsi="Calibri"/>
                <w:sz w:val="24"/>
                <w:szCs w:val="24"/>
              </w:rPr>
            </w:pPr>
            <w:r>
              <w:t>Other Consulting Parties</w:t>
            </w:r>
          </w:p>
        </w:tc>
      </w:tr>
    </w:tbl>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hideMark/>
          </w:tcPr>
          <w:p>
            <w:pPr>
              <w:keepNext/>
              <w:widowControl w:val="false"/>
              <w:spacing w:beforeAutospacing="true" w:afterAutospacing="true"/>
              <w:rPr>
                <w:sz w:val="24"/>
                <w:szCs w:val="24"/>
              </w:rPr>
            </w:pPr>
            <w:r>
              <w:rPr/>
              <w:t xml:space="preserve">HUD regulations (36 CFR 800.4(d)(1)) notes the grantee's responsibility to notify the local SHPO, as a consulting party in the Section 106 process.</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Document and upload all correspondence, notices and notes (including comments and objections received below).</w:t>
      </w:r>
    </w:p>
    <w:p>
      <w:pPr>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Step 2 – Identify and Evaluate Historic Properties</w:t>
      </w: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Define the Area of Potential Effect (APE), either by entering the address(es) or uploading a map depicting the APE below:</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376"/>
      </w:tblGrid>
    </w:tbl>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project should be included in the chart.</w:t>
      </w:r>
    </w:p>
    <w:p>
      <w:pPr>
        <w:keepNext/>
        <w:widowControl w:val="false"/>
        <w:rPr>
          <w:rFonts w:asciiTheme="minorHAnsi" w:hAnsiTheme="minorHAnsi"/>
          <w:b/>
          <w:sz w:val="22"/>
          <w:szCs w:val="22"/>
        </w:rPr>
      </w:pPr>
    </w:p>
    <w:p>
      <w:pPr>
        <w:keepNext/>
        <w:widowControl w:val="false"/>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below.  </w:t>
      </w:r>
    </w:p>
    <w:p>
      <w:pPr>
        <w:keepNext/>
        <w:widowControl w:val="false"/>
        <w:rPr>
          <w:rFonts w:asciiTheme="minorHAnsi" w:hAnsiTheme="minorHAnsi"/>
          <w:b/>
          <w:sz w:val="22"/>
          <w:szCs w:val="22"/>
        </w:rPr>
      </w:pPr>
    </w:p>
    <w:tbl>
      <w:tblPr>
        <w:tblStyle w:val="TableGrid"/>
        <w:tblW w:w="8856" w:type="dxa"/>
        <w:tblInd w:w="743" w:type="dxa"/>
        <w:tblLook w:firstRow="1" w:lastRow="0" w:firstColumn="1" w:lastColumn="0" w:noHBand="0" w:noVBand="1" w:val="04A0"/>
      </w:tblPr>
      <w:tblGrid>
        <w:gridCol w:w="2214"/>
        <w:gridCol w:w="2214"/>
        <w:gridCol w:w="2214"/>
        <w:gridCol w:w="2214"/>
      </w:tblGrid>
      <w:tr>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Address / Location / District</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National Register Status</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SHPO Concurrence</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Sensitive Information</w:t>
            </w:r>
          </w:p>
        </w:tc>
      </w:tr>
    </w:tbl>
    <w:p>
      <w:pPr>
        <w:rPr>
          <w:rFonts w:asciiTheme="minorHAnsi" w:hAnsiTheme="minorHAnsi"/>
          <w:b/>
          <w:sz w:val="22"/>
          <w:szCs w:val="22"/>
        </w:rPr>
      </w:pPr>
    </w:p>
    <w:p>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61"/>
        </w:trPr>
        <w:tc>
          <w:tcPr>
            <w:tcW w:w="7233" w:type="dxa"/>
            <w:hideMark/>
          </w:tcPr>
          <w:p/>
        </w:tc>
      </w:tr>
    </w:tbl>
    <w:p>
      <w:pPr>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pPr>
        <w:keepNext/>
        <w:widowControl w:val="false"/>
        <w:rPr>
          <w:rFonts w:asciiTheme="minorHAnsi" w:hAnsiTheme="minorHAnsi"/>
          <w:b/>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75"/>
        <w:gridCol w:w="533"/>
      </w:tblGrid>
      <w:tr>
        <w:trPr>
          <w:trHeight w:val="511"/>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Yes</w:t>
            </w:r>
          </w:p>
        </w:tc>
      </w:tr>
    </w:tbl>
    <w:p>
      <w:pPr>
        <w:keepNext/>
        <w:widowControl w:val="false"/>
        <w:rPr>
          <w:rFonts w:asciiTheme="minorHAnsi" w:hAnsiTheme="minorHAnsi"/>
          <w:sz w:val="22"/>
          <w:szCs w:val="22"/>
        </w:rPr>
      </w:pPr>
      <w:r>
        <w:rPr>
          <w:rFonts w:asciiTheme="minorHAnsi" w:hAnsiTheme="minorHAnsi"/>
          <w:b/>
          <w:sz w:val="22"/>
          <w:szCs w:val="22"/>
        </w:rPr>
        <w:tab/>
        <w:tab/>
      </w:r>
      <w:r>
        <w:rPr>
          <w:rFonts w:asciiTheme="minorHAnsi" w:hAnsiTheme="minorHAnsi"/>
          <w:sz w:val="22"/>
          <w:szCs w:val="22"/>
        </w:rPr>
        <w:t>Document and upload</w:t>
      </w:r>
      <w:r>
        <w:rPr>
          <w:rFonts w:asciiTheme="minorHAnsi" w:hAnsiTheme="minorHAnsi"/>
          <w:b/>
          <w:sz w:val="22"/>
          <w:szCs w:val="22"/>
        </w:rPr>
        <w:t xml:space="preserve"> </w:t>
      </w:r>
      <w:r>
        <w:rPr>
          <w:rFonts w:asciiTheme="minorHAnsi" w:hAnsiTheme="minorHAnsi"/>
          <w:sz w:val="22"/>
          <w:szCs w:val="22"/>
        </w:rPr>
        <w:t>surveys and report(s) below.</w:t>
      </w:r>
    </w:p>
    <w:p>
      <w:pPr>
        <w:keepNext/>
        <w:widowControl w:val="false"/>
        <w:ind w:left="1440"/>
        <w:rPr>
          <w:rFonts w:asciiTheme="minorHAnsi" w:hAnsiTheme="minorHAnsi"/>
          <w:sz w:val="22"/>
          <w:szCs w:val="22"/>
        </w:rPr>
      </w:pPr>
      <w:r>
        <w:rPr>
          <w:rFonts w:asciiTheme="minorHAnsi" w:hAnsiTheme="minorHAnsi"/>
          <w:sz w:val="22"/>
          <w:szCs w:val="22"/>
        </w:rPr>
        <w:t xml:space="preserve">For Archeological surveys, refer to HP Fact Sheet #6, Guidance on Archeological Investigations in HUD Projects.  </w:t>
      </w:r>
    </w:p>
    <w:p>
      <w:pPr>
        <w:ind w:firstLine="720"/>
        <w:rPr>
          <w:rFonts w:asciiTheme="minorHAnsi" w:hAnsiTheme="minorHAnsi"/>
          <w:b/>
          <w:sz w:val="22"/>
          <w:szCs w:val="22"/>
        </w:rPr>
      </w:pPr>
    </w:p>
    <w:p>
      <w:pPr>
        <w:ind w:left="720" w:firstLine="720"/>
        <w:rPr>
          <w:rFonts w:asciiTheme="minorHAnsi" w:hAnsiTheme="minorHAnsi"/>
          <w:sz w:val="22"/>
          <w:szCs w:val="22"/>
        </w:rPr>
      </w:pPr>
      <w:r>
        <w:rPr>
          <w:rFonts w:asciiTheme="minorHAnsi" w:hAnsiTheme="minorHAnsi"/>
          <w:sz w:val="22"/>
          <w:szCs w:val="22"/>
        </w:rPr>
        <w:t>Additional Notes:</w:t>
      </w:r>
    </w:p>
    <w:tbl>
      <w:tblPr>
        <w:tblStyle w:val="TableGrid"/>
        <w:tblpPr w:leftFromText="180" w:rightFromText="180" w:vertAnchor="text" w:horzAnchor="margin" w:tblpXSpec="right" w:tblpY="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42"/>
        </w:trPr>
        <w:tc>
          <w:tcPr>
            <w:tcW w:w="7233" w:type="dxa"/>
            <w:hideMark/>
          </w:tcP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ind w:left="720"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9"/>
        <w:gridCol w:w="489"/>
      </w:tblGrid>
      <w:tr>
        <w:trPr>
          <w:trHeight w:val="511"/>
        </w:trPr>
        <w:tc>
          <w:tcPr>
            <w:tcW w:w="0" w:type="auto"/>
            <w:hideMark/>
          </w:tcPr>
          <w:p>
            <w:pPr>
              <w:rPr>
                <w:rFonts w:ascii="Calibri" w:hAnsi="Calibri"/>
              </w:rPr>
            </w:pPr>
            <w:r>
              <w:rPr>
                <w:rFonts w:ascii="Calibri" w:hAnsi="Calibri"/>
              </w:rPr>
            </w:r>
          </w:p>
        </w:tc>
        <w:tc>
          <w:tcPr>
            <w:tcW w:w="0" w:type="auto"/>
            <w:hideMark/>
          </w:tcPr>
          <w:p>
            <w:pPr>
              <w:rPr>
                <w:rFonts w:ascii="Calibri" w:hAnsi="Calibri"/>
              </w:rPr>
            </w:pPr>
            <w:r>
              <w:t>No</w:t>
            </w:r>
          </w:p>
        </w:tc>
      </w:tr>
    </w:tbl>
    <w:p>
      <w:pPr>
        <w:keepNext/>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pPr>
        <w:keepNext/>
        <w:widowControl w:val="false"/>
        <w:rPr>
          <w:rFonts w:asciiTheme="minorHAnsi" w:hAnsiTheme="minorHAnsi"/>
          <w:b/>
          <w:sz w:val="22"/>
          <w:szCs w:val="22"/>
        </w:rPr>
      </w:pPr>
    </w:p>
    <w:p>
      <w:pPr>
        <w:keepNext/>
        <w:widowControl w:val="false"/>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pPr>
        <w:keepNext/>
        <w:widowControl w:val="false"/>
        <w:rPr>
          <w:rFonts w:asciiTheme="minorHAnsi" w:hAnsiTheme="minorHAnsi"/>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 xml:space="preserve">Choose one of the findings below - No Historic Properties Affected, No Adverse Effect, or Adverse Effect; and seek concurrence from consulting parties.  </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009"/>
        <w:gridCol w:w="1861"/>
      </w:tblGrid>
      <w:tr>
        <w:trPr>
          <w:trHeight w:val="511"/>
        </w:trPr>
        <w:tc>
          <w:tcPr>
            <w:tcW w:w="0" w:type="auto"/>
            <w:hideMark/>
          </w:tcPr>
          <w:p>
            <w:pPr>
              <w:spacing w:beforeAutospacing="true" w:afterAutospacing="true"/>
            </w:pPr>
            <w:r>
              <w:rPr>
                <w:i w:val="false"/>
              </w:rPr>
              <w:sym w:font="Wingdings" w:char="F0FC"/>
            </w:r>
            <w:r>
              <w:rPr/>
              <w:t xml:space="preserve"/>
            </w:r>
          </w:p>
        </w:tc>
        <w:tc>
          <w:tcPr>
            <w:tcW w:w="0" w:type="auto"/>
            <w:hideMark/>
          </w:tcPr>
          <w:p>
            <w:r>
              <w:t>No Historic Properties Affected</w:t>
            </w:r>
          </w:p>
        </w:tc>
      </w:tr>
    </w:tbl>
    <w:p>
      <w:pPr>
        <w:keepNext/>
        <w:widowControl w:val="false"/>
        <w:rPr>
          <w:rFonts w:asciiTheme="minorHAnsi" w:hAnsiTheme="minorHAnsi"/>
          <w:b/>
          <w:sz w:val="22"/>
          <w:szCs w:val="22"/>
        </w:rPr>
      </w:pPr>
    </w:p>
    <w:p>
      <w:pPr>
        <w:keepNext/>
        <w:widowControl w:val="false"/>
        <w:rPr>
          <w:rFonts w:asciiTheme="minorHAnsi" w:hAnsiTheme="minorHAnsi"/>
          <w:sz w:val="22"/>
          <w:szCs w:val="22"/>
        </w:rPr>
      </w:pPr>
      <w:r>
        <w:rPr>
          <w:rFonts w:asciiTheme="minorHAnsi" w:hAnsiTheme="minorHAnsi"/>
          <w:sz w:val="22"/>
          <w:szCs w:val="22"/>
        </w:rPr>
        <w:t>Based on the response, the review is in compliance with this section. Document and upload concurrence(s) or objection(s) below.</w:t>
      </w:r>
    </w:p>
    <w:p>
      <w:pPr>
        <w:keepNext/>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page" w:tblpX="2404" w:tblpY="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436"/>
        <w:gridCol w:w="2420"/>
      </w:tblGrid>
      <w:tr>
        <w:trPr>
          <w:trHeight w:val="592"/>
        </w:trPr>
        <w:tc>
          <w:tcPr>
            <w:tcW w:w="0" w:type="auto"/>
            <w:hideMark/>
          </w:tcPr>
          <w:p>
            <w:pPr>
              <w:keepNext/>
              <w:widowControl w:val="false"/>
              <w:spacing w:beforeAutospacing="true" w:afterAutospacing="true"/>
            </w:pPr>
            <w:r>
              <w:rPr>
                <w:i w:val="false"/>
              </w:rPr>
              <w:sym w:font="Wingdings" w:char="F0FC"/>
            </w:r>
            <w:r>
              <w:rPr/>
              <w:t xml:space="preserve"/>
            </w:r>
          </w:p>
        </w:tc>
        <w:tc>
          <w:tcPr>
            <w:tcW w:w="0" w:type="auto"/>
            <w:hideMark/>
          </w:tcPr>
          <w:p>
            <w:pPr>
              <w:keepNext/>
              <w:widowControl w:val="false"/>
            </w:pPr>
            <w:r>
              <w:t>No historic properties present.</w:t>
            </w:r>
          </w:p>
        </w:tc>
      </w:tr>
      <w:tr>
        <w:trPr>
          <w:trHeight w:val="592"/>
        </w:trPr>
        <w:tc>
          <w:tcPr>
            <w:tcW w:w="0" w:type="auto"/>
            <w:hideMark/>
          </w:tcPr>
          <w:p>
            <w:pPr>
              <w:keepNext/>
              <w:widowControl w:val="false"/>
            </w:pPr>
            <w:r/>
          </w:p>
        </w:tc>
        <w:tc>
          <w:tcPr>
            <w:tcW w:w="0" w:type="auto"/>
            <w:hideMark/>
          </w:tcPr>
          <w:p>
            <w:pPr>
              <w:keepNext/>
              <w:widowControl w:val="false"/>
            </w:pPr>
            <w:r>
              <w:t>Historic properties present, but project will have no effect upon them.</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486"/>
        <w:gridCol w:w="1384"/>
      </w:tblGrid>
      <w:tr>
        <w:trPr>
          <w:trHeight w:val="511"/>
        </w:trPr>
        <w:tc>
          <w:tcPr>
            <w:tcW w:w="0" w:type="auto"/>
            <w:hideMark/>
          </w:tcPr>
          <w:p>
            <w:r/>
          </w:p>
        </w:tc>
        <w:tc>
          <w:tcPr>
            <w:tcW w:w="0" w:type="auto"/>
            <w:hideMark/>
          </w:tcPr>
          <w:p>
            <w:r>
              <w:t>No Adverse Effect</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8"/>
        <w:gridCol w:w="1252"/>
      </w:tblGrid>
      <w:tr>
        <w:trPr>
          <w:trHeight w:val="511"/>
        </w:trPr>
        <w:tc>
          <w:tcPr>
            <w:tcW w:w="0" w:type="auto"/>
            <w:hideMark/>
          </w:tcPr>
          <w:p>
            <w:r/>
          </w:p>
        </w:tc>
        <w:tc>
          <w:tcPr>
            <w:tcW w:w="0" w:type="auto"/>
            <w:hideMark/>
          </w:tcPr>
          <w:p>
            <w:r>
              <w:t>Adverse Effect</w:t>
            </w:r>
          </w:p>
        </w:tc>
      </w:tr>
    </w:tbl>
    <w:p>
      <w:pPr>
        <w:keepNext/>
        <w:widowControl w:val="false"/>
        <w:ind w:left="720" w:firstLine="720"/>
        <w:rPr>
          <w:rFonts w:asciiTheme="minorHAnsi" w:hAnsiTheme="minorHAnsi"/>
          <w:sz w:val="22"/>
          <w:szCs w:val="22"/>
        </w:rPr>
      </w:pPr>
    </w:p>
    <w:p>
      <w:pPr>
        <w:keepNext/>
        <w:widowControl w:val="false"/>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sz w:val="24"/>
                <w:szCs w:val="24"/>
              </w:rPr>
            </w:pPr>
            <w:r>
              <w:rPr>
                <w:rFonts w:ascii="Calibri" w:hAnsi="Calibri"/>
              </w:rPr>
              <w:t xml:space="preserve">Based on Section 106 consultation there are No Historic Properties Affected because there are no historic properties present. The project is in compliance with Section 106.</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6">
        <w:r>
          <w:rPr>
            <w:rStyle w:val="Hyperlink"/>
          </w:rPr>
          <w:t>2019 04-29 Section 106 SHPO submittal.pdf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1"/>
        <w:gridCol w:w="533"/>
      </w:tblGrid>
      <w:tr>
        <w:trPr>
          <w:trHeight w:val="495"/>
        </w:trPr>
        <w:tc>
          <w:tcPr>
            <w:tcW w:w="0" w:type="auto"/>
            <w:hideMark/>
          </w:tcPr>
          <w:p>
            <w:pPr>
              <w:rPr>
                <w:rFonts w:ascii="Calibri" w:hAnsi="Calibri"/>
                <w:sz w:val="24"/>
                <w:szCs w:val="24"/>
              </w:rPr>
            </w:pPr>
            <w:r>
              <w:rPr>
                <w:rFonts w:ascii="Calibri" w:hAnsi="Calibri"/>
              </w:rPr>
            </w:r>
          </w:p>
        </w:tc>
        <w:tc>
          <w:tcPr>
            <w:tcW w:w="0" w:type="auto"/>
            <w:hideMark/>
          </w:tcPr>
          <w:p>
            <w:pPr>
              <w:rPr>
                <w:rFonts w:ascii="Calibri" w:hAnsi="Calibri"/>
                <w:sz w:val="24"/>
                <w:szCs w:val="24"/>
              </w:rPr>
            </w:pPr>
            <w:r>
              <w:rPr>
                <w:rFonts w:ascii="Calibri" w:hAnsi="Calibri"/>
              </w:rPr>
              <w:t>Yes</w:t>
            </w:r>
          </w:p>
        </w:tc>
      </w:tr>
      <w:tr>
        <w:tc>
          <w:tcPr>
            <w:tcW w:w="0" w:type="auto"/>
            <w:hideMark/>
          </w:tcPr>
          <w:p>
            <w:pPr>
              <w:spacing w:beforeAutospacing="true" w:afterAutospacing="true"/>
              <w:rPr>
                <w:rFonts w:ascii="Calibri" w:hAnsi="Calibri"/>
                <w:sz w:val="24"/>
                <w:szCs w:val="24"/>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sz w:val="24"/>
                <w:szCs w:val="24"/>
              </w:rPr>
            </w:pPr>
            <w:r>
              <w:rPr>
                <w:rFonts w:ascii="Calibri" w:hAnsi="Calibri"/>
              </w:rPr>
              <w:t>No</w:t>
            </w:r>
          </w:p>
        </w:tc>
      </w:tr>
    </w:tbl>
    <w:p/>
    <w:p>
      <w:pPr>
        <w:spacing w:after="240"/>
        <w:rPr>
          <w:rFonts w:asciiTheme="minorHAnsi" w:hAnsiTheme="minorHAnsi"/>
          <w:sz w:val="22"/>
          <w:szCs w:val="22"/>
        </w:rPr>
      </w:pPr>
    </w:p>
    <w:p>
      <w: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01"/>
        <w:gridCol w:w="2069"/>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6"/>
        <w:gridCol w:w="2314"/>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735"/>
        <w:gridCol w:w="3135"/>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HUD's noise regulation. The project is in compliance with HUD's Noise regulation.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7">
        <w:r>
          <w:rPr>
            <w:rStyle w:val="Hyperlink"/>
          </w:rPr>
          <w:t>Noise Abatement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the project consist solely of acquisition, leasing, or rehabilitation of an existing building(s)?</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43"/>
        <w:gridCol w:w="489"/>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2.</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r>
              <w:rPr>
                <w:rFonts w:ascii="Calibri" w:hAnsi="Calibri"/>
              </w:rPr>
              <w:t>&lt;</w:t>
            </w:r>
            <w:r>
              <w:t xml:space="preserve"> </w:t>
            </w:r>
          </w:p>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p>
      <w:pPr>
        <w:widowControl w:val="false"/>
        <w:rPr>
          <w:rFonts w:ascii="Calibri" w:hAnsi="Calibri"/>
          <w:b/>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3.</w:t>
        <w:tab/>
        <w:t xml:space="preserve">Does your region have a memorandum of understanding (MOU) or other working agreement with Environmental Protection Agency (EPA) for HUD projects impacting a sole source aquifer? </w:t>
      </w:r>
    </w:p>
    <w:p>
      <w:pPr>
        <w:widowControl w:val="false"/>
        <w:rPr>
          <w:rFonts w:ascii="Calibri" w:hAnsi="Calibri"/>
          <w:b/>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No</w:t>
            </w:r>
          </w:p>
        </w:tc>
      </w:tr>
    </w:tbl>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a sole source aquifer area. The project is in compliance with Sole Source Aquifer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8">
        <w:r>
          <w:rPr>
            <w:rStyle w:val="Hyperlink"/>
          </w:rPr>
          <w:t>Sole Source Aquifers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7"/>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w:t>
            </w:r>
          </w:p>
        </w:tc>
      </w:tr>
    </w:tbl>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r/>
          </w:p>
        </w:tc>
        <w:tc>
          <w:tcPr>
            <w:tcW w:w="0" w:type="auto"/>
          </w:tcPr>
          <w:p>
            <w:pPr>
              <w:rPr>
                <w:rFonts w:ascii="Calibri" w:hAnsi="Calibri"/>
              </w:rPr>
            </w:pPr>
            <w:r>
              <w:rPr>
                <w:rFonts w:ascii="Calibri" w:hAnsi="Calibri"/>
              </w:rPr>
              <w:t>Yes</w:t>
            </w:r>
          </w:p>
        </w:tc>
      </w:tr>
    </w:tbl>
    <w:p>
      <w:pPr>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this section. The project is in compliance with Executive Order 11990.</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9">
        <w:r>
          <w:rPr>
            <w:rStyle w:val="Hyperlink"/>
          </w:rPr>
          <w:t>Wetland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4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67"/>
        <w:gridCol w:w="270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within proximity of a NWSRS river. The project is in compliance with the Wild and Scenic Rivers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0">
        <w:r>
          <w:rPr>
            <w:rStyle w:val="Hyperlink"/>
          </w:rPr>
          <w:t>Wild and Scenic Rivers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No adverse environmental impacts were identified in the project's total environmental review. The project is in compliance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1">
        <w:r>
          <w:rPr>
            <w:rStyle w:val="Hyperlink"/>
          </w:rPr>
          <w:t>Environmental Justice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71"/>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sectPr>
      <w:headerReference r:id="rId12" w:type="even"/>
      <w:headerReference r:id="rId13" w:type="default"/>
      <w:footerReference r:id="rId14" w:type="even"/>
      <w:footerReference r:id="rId15" w:type="default"/>
      <w:headerReference r:id="rId16" w:type="first"/>
      <w:footerReference r:id="rId17"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sdt>
    <w:sdtPr>
      <w:id w:val="-1781172306"/>
      <w:docPartObj>
        <w:docPartGallery w:val="Page Numbers (Bottom of Page)"/>
        <w:docPartUnique/>
      </w:docPartObj>
    </w:sdtPr>
    <w:sdtEndPr/>
    <w:sdtContent>
      <w:sdt>
        <w:sdtPr>
          <w:id w:val="565050523"/>
          <w:docPartObj>
            <w:docPartGallery w:val="Page Numbers (Top of Page)"/>
            <w:docPartUnique/>
          </w:docPartObj>
        </w:sdtPr>
        <w:sdtEndPr/>
        <w:sdtContent>
          <w:p>
            <w:pPr>
              <w:pStyle w:val="Footer"/>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 </w:t>
                  </w:r>
                </w:p>
              </w:tc>
              <w:tc>
                <w:tcPr>
                  <w:tcW w:w="3871" w:type="dxa"/>
                </w:tcPr>
                <w:p>
                  <w:pPr>
                    <w:jc w:val="center"/>
                  </w:pPr>
                  <w:r>
                    <w:t>10/11/2019 01:32</w:t>
                  </w:r>
                </w:p>
                <w:p>
                  <w:pPr>
                    <w:jc w:val="center"/>
                  </w:pP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2</w:t>
                        <w:fldChar w:fldCharType="end"/>
                        <w:t xml:space="preserve"> of </w:t>
                        <w:fldChar w:fldCharType="begin"/>
                        <w:instrText xml:space="preserve"> NUMPAGES  </w:instrText>
                        <w:fldChar w:fldCharType="separate"/>
                        <w:t>100</w:t>
                        <w:fldChar w:fldCharType="end"/>
                      </w:r>
                    </w:p>
                  </w:sdtContent>
                </w:sdt>
                <w:p>
                  <w:pPr>
                    <w:pStyle w:val="Footer"/>
                    <w:jc w:val="center"/>
                  </w:pPr>
                </w:p>
              </w:tc>
            </w:tr>
          </w:tbl>
          <w:p>
            <w:pPr>
              <w:pStyle w:val="Footer"/>
            </w:pPr>
          </w:p>
        </w:sdtContent>
      </w:sdt>
    </w:sdtContent>
  </w:sdt>
</w:ftr>
</file>

<file path=word/footer3.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neighborhood-tree-planting-program</w:t>
          </w:r>
        </w:p>
      </w:tc>
      <w:tc>
        <w:tcPr>
          <w:tcW w:w="3192" w:type="dxa"/>
        </w:tcPr>
        <w:p>
          <w:pPr>
            <w:pStyle w:val="Footer"/>
            <w:jc w:val="center"/>
          </w:pPr>
          <w:r>
            <w:t>Royal Oak, MI</w:t>
          </w:r>
        </w:p>
      </w:tc>
      <w:tc>
        <w:tcPr>
          <w:tcW w:w="3192" w:type="dxa"/>
        </w:tcPr>
        <w:p>
          <w:pPr>
            <w:pStyle w:val="Footer"/>
            <w:jc w:val="right"/>
          </w:pPr>
          <w:r>
            <w:t>900000010086202</w:t>
          </w:r>
        </w:p>
      </w:tc>
    </w:tr>
  </w:tbl>
  <w:p>
    <w:pPr>
      <w:pStyle w:val="Header"/>
    </w:pPr>
  </w:p>
</w:hdr>
</file>

<file path=word/header3.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r>
      <w:rPr>
        <w:rFonts w:ascii="Swiss Roman 08pt" w:hAnsi="Swiss Roman 08pt"/>
        <w:b/>
        <w:sz w:val="16"/>
      </w:rPr>
      <w:t>U.S. Department of Housing and Urban                                                                                                       Development</w:t>
    </w:r>
  </w:p>
  <w:p>
    <w:pPr>
      <w:suppressAutoHyphens/>
      <w:rPr>
        <w:rFonts w:ascii="Swiss Roman 08pt" w:hAnsi="Swiss Roman 08pt"/>
        <w:sz w:val="16"/>
      </w:rPr>
    </w:pPr>
    <w:r>
      <w:rPr>
        <w:rFonts w:ascii="Swiss Roman 08pt" w:hAnsi="Swiss Roman 08pt"/>
        <w:sz w:val="16"/>
      </w:rPr>
      <w:tab/>
      <w:tab/>
      <w:tab/>
      <w:tab/>
      <w:tab/>
      <w:tab/>
      <w:tab/>
      <w:t>451 Seventh Street, SW</w:t>
    </w:r>
  </w:p>
  <w:p>
    <w:pPr>
      <w:suppressAutoHyphens/>
      <w:ind w:left="4320" w:firstLine="720"/>
      <w:rPr>
        <w:rFonts w:ascii="Swiss Roman 08pt" w:hAnsi="Swiss Roman 08pt"/>
        <w:sz w:val="16"/>
      </w:rPr>
    </w:pPr>
    <w:r>
      <w:rPr>
        <w:rFonts w:ascii="Swiss Roman 08pt" w:hAnsi="Swiss Roman 08pt"/>
        <w:sz w:val="16"/>
      </w:rPr>
      <w:t>Washington, DC  20410</w:t>
    </w:r>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w:t>
      </w:r>
      <w:r>
        <w:rPr>
          <w:rStyle w:val="Hyperlink"/>
          <w:rFonts w:ascii="Swiss Roman 08pt" w:hAnsi="Swiss Roman 08pt" w:cs="Arial"/>
          <w:sz w:val="16"/>
        </w:rPr>
        <w:t>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0E5AF2"/>
    <w:multiLevelType w:val="hybridMultilevel"/>
    <w:tmpl w:val="D4D0E132"/>
    <w:lvl w:ilvl="0" w:tplc="B0E0069C">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7">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9">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1">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4">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5">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7">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10"/>
  </w:num>
  <w:num w:numId="5">
    <w:abstractNumId w:val="17"/>
  </w:num>
  <w:num w:numId="6">
    <w:abstractNumId w:val="7"/>
  </w:num>
  <w:num w:numId="7">
    <w:abstractNumId w:val="13"/>
  </w:num>
  <w:num w:numId="8">
    <w:abstractNumId w:val="0"/>
  </w:num>
  <w:num w:numId="9">
    <w:abstractNumId w:val="3"/>
  </w:num>
  <w:num w:numId="10">
    <w:abstractNumId w:val="11"/>
  </w:num>
  <w:num w:numId="11">
    <w:abstractNumId w:val="19"/>
  </w:num>
  <w:num w:numId="12">
    <w:abstractNumId w:val="5"/>
  </w:num>
  <w:num w:numId="13">
    <w:abstractNumId w:val="14"/>
  </w:num>
  <w:num w:numId="14">
    <w:abstractNumId w:val="16"/>
  </w:num>
  <w:num w:numId="15">
    <w:abstractNumId w:val="12"/>
  </w:num>
  <w:num w:numId="16">
    <w:abstractNumId w:val="15"/>
  </w:num>
  <w:num w:numId="17">
    <w:abstractNumId w:val="8"/>
  </w:num>
  <w:num w:numId="18">
    <w:abstractNumId w:val="4"/>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2823"/>
    <w:rsid w:val="00003415"/>
    <w:rsid w:val="00003D28"/>
    <w:rsid w:val="000044BD"/>
    <w:rsid w:val="00005202"/>
    <w:rsid w:val="00006392"/>
    <w:rsid w:val="0000744F"/>
    <w:rsid w:val="00010667"/>
    <w:rsid w:val="000113C7"/>
    <w:rsid w:val="0001143B"/>
    <w:rsid w:val="00011F2F"/>
    <w:rsid w:val="000120F4"/>
    <w:rsid w:val="00012EF3"/>
    <w:rsid w:val="00013E21"/>
    <w:rsid w:val="00013FB0"/>
    <w:rsid w:val="000162DF"/>
    <w:rsid w:val="00016569"/>
    <w:rsid w:val="000166AA"/>
    <w:rsid w:val="000173A2"/>
    <w:rsid w:val="00017B58"/>
    <w:rsid w:val="00020132"/>
    <w:rsid w:val="00020CBB"/>
    <w:rsid w:val="00020CE7"/>
    <w:rsid w:val="0002124B"/>
    <w:rsid w:val="000212D8"/>
    <w:rsid w:val="00021508"/>
    <w:rsid w:val="000215D9"/>
    <w:rsid w:val="0002311D"/>
    <w:rsid w:val="000233AF"/>
    <w:rsid w:val="0002364C"/>
    <w:rsid w:val="00025558"/>
    <w:rsid w:val="00027431"/>
    <w:rsid w:val="000275D2"/>
    <w:rsid w:val="00032F03"/>
    <w:rsid w:val="00034DDA"/>
    <w:rsid w:val="0003546C"/>
    <w:rsid w:val="000362B8"/>
    <w:rsid w:val="0003751C"/>
    <w:rsid w:val="0003754E"/>
    <w:rsid w:val="00037A47"/>
    <w:rsid w:val="00037BD7"/>
    <w:rsid w:val="00040BE1"/>
    <w:rsid w:val="000415D1"/>
    <w:rsid w:val="00041982"/>
    <w:rsid w:val="00041EFA"/>
    <w:rsid w:val="00043539"/>
    <w:rsid w:val="00043606"/>
    <w:rsid w:val="00043C7A"/>
    <w:rsid w:val="0004566A"/>
    <w:rsid w:val="000461CF"/>
    <w:rsid w:val="00046AC7"/>
    <w:rsid w:val="000473A1"/>
    <w:rsid w:val="000510EF"/>
    <w:rsid w:val="00051138"/>
    <w:rsid w:val="00053822"/>
    <w:rsid w:val="000562B2"/>
    <w:rsid w:val="000577BF"/>
    <w:rsid w:val="0006026F"/>
    <w:rsid w:val="000604FC"/>
    <w:rsid w:val="00060556"/>
    <w:rsid w:val="00061C6F"/>
    <w:rsid w:val="00061E13"/>
    <w:rsid w:val="00063656"/>
    <w:rsid w:val="00063A9C"/>
    <w:rsid w:val="00064CAB"/>
    <w:rsid w:val="00066BC3"/>
    <w:rsid w:val="00067A4F"/>
    <w:rsid w:val="00070823"/>
    <w:rsid w:val="000712D8"/>
    <w:rsid w:val="000716B6"/>
    <w:rsid w:val="00071FCE"/>
    <w:rsid w:val="00072690"/>
    <w:rsid w:val="00074500"/>
    <w:rsid w:val="00074D70"/>
    <w:rsid w:val="00074DB9"/>
    <w:rsid w:val="00074F42"/>
    <w:rsid w:val="000758E2"/>
    <w:rsid w:val="00075D5E"/>
    <w:rsid w:val="00076EDC"/>
    <w:rsid w:val="00076F4D"/>
    <w:rsid w:val="00080A97"/>
    <w:rsid w:val="00080E7D"/>
    <w:rsid w:val="00081E1C"/>
    <w:rsid w:val="00082042"/>
    <w:rsid w:val="0008229B"/>
    <w:rsid w:val="00084E93"/>
    <w:rsid w:val="0009079B"/>
    <w:rsid w:val="00090CA0"/>
    <w:rsid w:val="0009189C"/>
    <w:rsid w:val="00092623"/>
    <w:rsid w:val="00092BE7"/>
    <w:rsid w:val="00092FEC"/>
    <w:rsid w:val="00093173"/>
    <w:rsid w:val="00094CB4"/>
    <w:rsid w:val="00095546"/>
    <w:rsid w:val="00097077"/>
    <w:rsid w:val="000A1109"/>
    <w:rsid w:val="000A185F"/>
    <w:rsid w:val="000A1937"/>
    <w:rsid w:val="000A3811"/>
    <w:rsid w:val="000A4776"/>
    <w:rsid w:val="000A47A9"/>
    <w:rsid w:val="000A590F"/>
    <w:rsid w:val="000A5B84"/>
    <w:rsid w:val="000A7404"/>
    <w:rsid w:val="000A7F69"/>
    <w:rsid w:val="000B3015"/>
    <w:rsid w:val="000B38AF"/>
    <w:rsid w:val="000C093C"/>
    <w:rsid w:val="000C25FC"/>
    <w:rsid w:val="000C4CE5"/>
    <w:rsid w:val="000C50BB"/>
    <w:rsid w:val="000C568F"/>
    <w:rsid w:val="000C618B"/>
    <w:rsid w:val="000C7534"/>
    <w:rsid w:val="000D0D70"/>
    <w:rsid w:val="000D24DC"/>
    <w:rsid w:val="000D2741"/>
    <w:rsid w:val="000D4FB0"/>
    <w:rsid w:val="000D6CDC"/>
    <w:rsid w:val="000D7098"/>
    <w:rsid w:val="000E2E22"/>
    <w:rsid w:val="000E3C33"/>
    <w:rsid w:val="000E4387"/>
    <w:rsid w:val="000E44BD"/>
    <w:rsid w:val="000E4B40"/>
    <w:rsid w:val="000E4BB3"/>
    <w:rsid w:val="000E4FA2"/>
    <w:rsid w:val="000E5A78"/>
    <w:rsid w:val="000E5CEC"/>
    <w:rsid w:val="000E7A63"/>
    <w:rsid w:val="000F087B"/>
    <w:rsid w:val="000F1F22"/>
    <w:rsid w:val="000F2D9B"/>
    <w:rsid w:val="000F3941"/>
    <w:rsid w:val="000F3B03"/>
    <w:rsid w:val="000F3E84"/>
    <w:rsid w:val="000F3FF7"/>
    <w:rsid w:val="000F468D"/>
    <w:rsid w:val="000F519B"/>
    <w:rsid w:val="000F607A"/>
    <w:rsid w:val="000F6CC7"/>
    <w:rsid w:val="000F765A"/>
    <w:rsid w:val="001004A3"/>
    <w:rsid w:val="00100DDB"/>
    <w:rsid w:val="00101DA3"/>
    <w:rsid w:val="00102E5E"/>
    <w:rsid w:val="00103718"/>
    <w:rsid w:val="001039B2"/>
    <w:rsid w:val="001043B9"/>
    <w:rsid w:val="001046A7"/>
    <w:rsid w:val="00104734"/>
    <w:rsid w:val="00104801"/>
    <w:rsid w:val="00104E57"/>
    <w:rsid w:val="00104E94"/>
    <w:rsid w:val="00105291"/>
    <w:rsid w:val="00105C4E"/>
    <w:rsid w:val="001070AC"/>
    <w:rsid w:val="0010735E"/>
    <w:rsid w:val="00107C1F"/>
    <w:rsid w:val="00107CBC"/>
    <w:rsid w:val="00110E99"/>
    <w:rsid w:val="00112F48"/>
    <w:rsid w:val="001135B6"/>
    <w:rsid w:val="00115E7B"/>
    <w:rsid w:val="00115F50"/>
    <w:rsid w:val="00123304"/>
    <w:rsid w:val="001238E7"/>
    <w:rsid w:val="001254E6"/>
    <w:rsid w:val="0012582F"/>
    <w:rsid w:val="00125868"/>
    <w:rsid w:val="00125DB7"/>
    <w:rsid w:val="001264FC"/>
    <w:rsid w:val="00126959"/>
    <w:rsid w:val="001323D3"/>
    <w:rsid w:val="00133EDF"/>
    <w:rsid w:val="00135667"/>
    <w:rsid w:val="00135883"/>
    <w:rsid w:val="00135976"/>
    <w:rsid w:val="0013643A"/>
    <w:rsid w:val="00140627"/>
    <w:rsid w:val="0014104D"/>
    <w:rsid w:val="0014156A"/>
    <w:rsid w:val="00142295"/>
    <w:rsid w:val="0014537A"/>
    <w:rsid w:val="00145675"/>
    <w:rsid w:val="0014703A"/>
    <w:rsid w:val="00147E7B"/>
    <w:rsid w:val="001502A5"/>
    <w:rsid w:val="00150457"/>
    <w:rsid w:val="00150A92"/>
    <w:rsid w:val="00150B5C"/>
    <w:rsid w:val="00153AD9"/>
    <w:rsid w:val="00154DF5"/>
    <w:rsid w:val="001554EA"/>
    <w:rsid w:val="0015722D"/>
    <w:rsid w:val="0016058B"/>
    <w:rsid w:val="0016277B"/>
    <w:rsid w:val="0016347B"/>
    <w:rsid w:val="00164D13"/>
    <w:rsid w:val="00164F57"/>
    <w:rsid w:val="001652DE"/>
    <w:rsid w:val="00165707"/>
    <w:rsid w:val="00165B97"/>
    <w:rsid w:val="001670F8"/>
    <w:rsid w:val="0016795B"/>
    <w:rsid w:val="00170AB7"/>
    <w:rsid w:val="001731A2"/>
    <w:rsid w:val="00173A3B"/>
    <w:rsid w:val="001748B0"/>
    <w:rsid w:val="00175F89"/>
    <w:rsid w:val="00176220"/>
    <w:rsid w:val="00176907"/>
    <w:rsid w:val="0017697F"/>
    <w:rsid w:val="001771DE"/>
    <w:rsid w:val="001772C0"/>
    <w:rsid w:val="001775C6"/>
    <w:rsid w:val="00180C2C"/>
    <w:rsid w:val="00181287"/>
    <w:rsid w:val="001813EB"/>
    <w:rsid w:val="00181AA9"/>
    <w:rsid w:val="00185013"/>
    <w:rsid w:val="001861B5"/>
    <w:rsid w:val="001861CD"/>
    <w:rsid w:val="00187865"/>
    <w:rsid w:val="00187925"/>
    <w:rsid w:val="00187EDA"/>
    <w:rsid w:val="001909DD"/>
    <w:rsid w:val="0019343C"/>
    <w:rsid w:val="0019403F"/>
    <w:rsid w:val="00196420"/>
    <w:rsid w:val="001968E3"/>
    <w:rsid w:val="001A0C8F"/>
    <w:rsid w:val="001A1228"/>
    <w:rsid w:val="001A13CE"/>
    <w:rsid w:val="001A1EDF"/>
    <w:rsid w:val="001A1F25"/>
    <w:rsid w:val="001A21F1"/>
    <w:rsid w:val="001A2F22"/>
    <w:rsid w:val="001A4DDF"/>
    <w:rsid w:val="001A5F04"/>
    <w:rsid w:val="001A6816"/>
    <w:rsid w:val="001A6A0D"/>
    <w:rsid w:val="001A7108"/>
    <w:rsid w:val="001A7D92"/>
    <w:rsid w:val="001B0691"/>
    <w:rsid w:val="001B0C01"/>
    <w:rsid w:val="001B0E55"/>
    <w:rsid w:val="001B15BA"/>
    <w:rsid w:val="001B231E"/>
    <w:rsid w:val="001B4248"/>
    <w:rsid w:val="001B4251"/>
    <w:rsid w:val="001B5544"/>
    <w:rsid w:val="001B78F0"/>
    <w:rsid w:val="001C0CAE"/>
    <w:rsid w:val="001C10B8"/>
    <w:rsid w:val="001C2AE9"/>
    <w:rsid w:val="001C2E94"/>
    <w:rsid w:val="001C35A1"/>
    <w:rsid w:val="001C3BA9"/>
    <w:rsid w:val="001C488C"/>
    <w:rsid w:val="001C4D39"/>
    <w:rsid w:val="001C611B"/>
    <w:rsid w:val="001C700E"/>
    <w:rsid w:val="001C7472"/>
    <w:rsid w:val="001C77AE"/>
    <w:rsid w:val="001D0ECE"/>
    <w:rsid w:val="001D0F7C"/>
    <w:rsid w:val="001D173D"/>
    <w:rsid w:val="001D1E39"/>
    <w:rsid w:val="001D25E6"/>
    <w:rsid w:val="001D3127"/>
    <w:rsid w:val="001D3720"/>
    <w:rsid w:val="001D4F7B"/>
    <w:rsid w:val="001D6746"/>
    <w:rsid w:val="001E01A9"/>
    <w:rsid w:val="001E25CA"/>
    <w:rsid w:val="001E2B6F"/>
    <w:rsid w:val="001E2FFB"/>
    <w:rsid w:val="001E3609"/>
    <w:rsid w:val="001E3F82"/>
    <w:rsid w:val="001E6267"/>
    <w:rsid w:val="001E7C87"/>
    <w:rsid w:val="001F0512"/>
    <w:rsid w:val="001F05A2"/>
    <w:rsid w:val="001F0961"/>
    <w:rsid w:val="001F097F"/>
    <w:rsid w:val="001F0BAF"/>
    <w:rsid w:val="001F2CE2"/>
    <w:rsid w:val="001F33E2"/>
    <w:rsid w:val="001F4152"/>
    <w:rsid w:val="001F426F"/>
    <w:rsid w:val="001F4BB7"/>
    <w:rsid w:val="001F59B3"/>
    <w:rsid w:val="001F667F"/>
    <w:rsid w:val="001F6717"/>
    <w:rsid w:val="001F6B62"/>
    <w:rsid w:val="0020152D"/>
    <w:rsid w:val="00204E65"/>
    <w:rsid w:val="00204EC0"/>
    <w:rsid w:val="00205E68"/>
    <w:rsid w:val="00206DF2"/>
    <w:rsid w:val="00207338"/>
    <w:rsid w:val="00207D25"/>
    <w:rsid w:val="00207EC2"/>
    <w:rsid w:val="0021009B"/>
    <w:rsid w:val="00210D1C"/>
    <w:rsid w:val="0021134A"/>
    <w:rsid w:val="002118BD"/>
    <w:rsid w:val="00213EEF"/>
    <w:rsid w:val="00214165"/>
    <w:rsid w:val="002153FC"/>
    <w:rsid w:val="00215857"/>
    <w:rsid w:val="0021639C"/>
    <w:rsid w:val="002168D2"/>
    <w:rsid w:val="00220284"/>
    <w:rsid w:val="00220F80"/>
    <w:rsid w:val="0022177E"/>
    <w:rsid w:val="00221DE9"/>
    <w:rsid w:val="00222BCA"/>
    <w:rsid w:val="00222DD2"/>
    <w:rsid w:val="002230B5"/>
    <w:rsid w:val="00225DB3"/>
    <w:rsid w:val="00226038"/>
    <w:rsid w:val="00226FFA"/>
    <w:rsid w:val="00227529"/>
    <w:rsid w:val="002279BA"/>
    <w:rsid w:val="00227E93"/>
    <w:rsid w:val="002305B2"/>
    <w:rsid w:val="00230C1F"/>
    <w:rsid w:val="00231D49"/>
    <w:rsid w:val="00232149"/>
    <w:rsid w:val="00233480"/>
    <w:rsid w:val="00233554"/>
    <w:rsid w:val="00234BD1"/>
    <w:rsid w:val="00234D19"/>
    <w:rsid w:val="00234E88"/>
    <w:rsid w:val="00235559"/>
    <w:rsid w:val="00240091"/>
    <w:rsid w:val="00240BF5"/>
    <w:rsid w:val="00240C90"/>
    <w:rsid w:val="00241424"/>
    <w:rsid w:val="002415FC"/>
    <w:rsid w:val="00243054"/>
    <w:rsid w:val="002439AD"/>
    <w:rsid w:val="00244BC2"/>
    <w:rsid w:val="00250497"/>
    <w:rsid w:val="00250DEF"/>
    <w:rsid w:val="002511C8"/>
    <w:rsid w:val="00251CBB"/>
    <w:rsid w:val="00253CAB"/>
    <w:rsid w:val="00254A3C"/>
    <w:rsid w:val="002559DA"/>
    <w:rsid w:val="002563A1"/>
    <w:rsid w:val="002612ED"/>
    <w:rsid w:val="00261944"/>
    <w:rsid w:val="00262479"/>
    <w:rsid w:val="00262550"/>
    <w:rsid w:val="002635ED"/>
    <w:rsid w:val="0026551A"/>
    <w:rsid w:val="00266089"/>
    <w:rsid w:val="00266A63"/>
    <w:rsid w:val="0027170E"/>
    <w:rsid w:val="0027304E"/>
    <w:rsid w:val="0027334D"/>
    <w:rsid w:val="00273952"/>
    <w:rsid w:val="002740CB"/>
    <w:rsid w:val="00275222"/>
    <w:rsid w:val="002755E0"/>
    <w:rsid w:val="002757A6"/>
    <w:rsid w:val="00276562"/>
    <w:rsid w:val="00276A9F"/>
    <w:rsid w:val="0028068C"/>
    <w:rsid w:val="00280D44"/>
    <w:rsid w:val="00281B1C"/>
    <w:rsid w:val="00281C88"/>
    <w:rsid w:val="002821A0"/>
    <w:rsid w:val="00284253"/>
    <w:rsid w:val="00284C19"/>
    <w:rsid w:val="00286516"/>
    <w:rsid w:val="0029133F"/>
    <w:rsid w:val="00291DC0"/>
    <w:rsid w:val="0029221E"/>
    <w:rsid w:val="00292EDF"/>
    <w:rsid w:val="00292F90"/>
    <w:rsid w:val="0029424E"/>
    <w:rsid w:val="0029615E"/>
    <w:rsid w:val="00296FA5"/>
    <w:rsid w:val="002971C9"/>
    <w:rsid w:val="002A1D32"/>
    <w:rsid w:val="002A36DD"/>
    <w:rsid w:val="002A3D21"/>
    <w:rsid w:val="002A5AB8"/>
    <w:rsid w:val="002A7623"/>
    <w:rsid w:val="002B0D8F"/>
    <w:rsid w:val="002B19B9"/>
    <w:rsid w:val="002B1EFB"/>
    <w:rsid w:val="002B6EAC"/>
    <w:rsid w:val="002B7958"/>
    <w:rsid w:val="002C0158"/>
    <w:rsid w:val="002C0C20"/>
    <w:rsid w:val="002C12E2"/>
    <w:rsid w:val="002C1AFB"/>
    <w:rsid w:val="002C29FC"/>
    <w:rsid w:val="002C3BA5"/>
    <w:rsid w:val="002C40B1"/>
    <w:rsid w:val="002C42E9"/>
    <w:rsid w:val="002C441A"/>
    <w:rsid w:val="002C5327"/>
    <w:rsid w:val="002C707B"/>
    <w:rsid w:val="002C7126"/>
    <w:rsid w:val="002C7D50"/>
    <w:rsid w:val="002D0627"/>
    <w:rsid w:val="002D06A6"/>
    <w:rsid w:val="002D163E"/>
    <w:rsid w:val="002D31B1"/>
    <w:rsid w:val="002D364F"/>
    <w:rsid w:val="002D3ADD"/>
    <w:rsid w:val="002D49AC"/>
    <w:rsid w:val="002D6671"/>
    <w:rsid w:val="002D6ACE"/>
    <w:rsid w:val="002D6B09"/>
    <w:rsid w:val="002E251F"/>
    <w:rsid w:val="002E2E43"/>
    <w:rsid w:val="002E3BCC"/>
    <w:rsid w:val="002E3CFC"/>
    <w:rsid w:val="002E4536"/>
    <w:rsid w:val="002E54C8"/>
    <w:rsid w:val="002E55B6"/>
    <w:rsid w:val="002E567C"/>
    <w:rsid w:val="002E5FCA"/>
    <w:rsid w:val="002E6017"/>
    <w:rsid w:val="002F0183"/>
    <w:rsid w:val="002F02CF"/>
    <w:rsid w:val="002F3541"/>
    <w:rsid w:val="002F3D8C"/>
    <w:rsid w:val="002F5AF0"/>
    <w:rsid w:val="002F5E74"/>
    <w:rsid w:val="002F726D"/>
    <w:rsid w:val="002F7BC1"/>
    <w:rsid w:val="002F7CC6"/>
    <w:rsid w:val="0030139B"/>
    <w:rsid w:val="00301D27"/>
    <w:rsid w:val="00302D05"/>
    <w:rsid w:val="00303E76"/>
    <w:rsid w:val="00305907"/>
    <w:rsid w:val="00305DA0"/>
    <w:rsid w:val="0031079F"/>
    <w:rsid w:val="00310C13"/>
    <w:rsid w:val="00312E7B"/>
    <w:rsid w:val="00313389"/>
    <w:rsid w:val="00313E2D"/>
    <w:rsid w:val="003165FF"/>
    <w:rsid w:val="0031691F"/>
    <w:rsid w:val="003176B9"/>
    <w:rsid w:val="0032147C"/>
    <w:rsid w:val="003227D8"/>
    <w:rsid w:val="00323E3D"/>
    <w:rsid w:val="003260E3"/>
    <w:rsid w:val="00326253"/>
    <w:rsid w:val="00326EC4"/>
    <w:rsid w:val="00330D2C"/>
    <w:rsid w:val="00332B32"/>
    <w:rsid w:val="00332D75"/>
    <w:rsid w:val="00333614"/>
    <w:rsid w:val="00334AA2"/>
    <w:rsid w:val="00335FAB"/>
    <w:rsid w:val="00340490"/>
    <w:rsid w:val="0034062F"/>
    <w:rsid w:val="003407C2"/>
    <w:rsid w:val="00341093"/>
    <w:rsid w:val="003415E9"/>
    <w:rsid w:val="00342066"/>
    <w:rsid w:val="003422A7"/>
    <w:rsid w:val="00342F25"/>
    <w:rsid w:val="00343090"/>
    <w:rsid w:val="003434EB"/>
    <w:rsid w:val="003435AB"/>
    <w:rsid w:val="003435DC"/>
    <w:rsid w:val="003456B4"/>
    <w:rsid w:val="00346AFD"/>
    <w:rsid w:val="00347A8C"/>
    <w:rsid w:val="00347AD8"/>
    <w:rsid w:val="00347EF2"/>
    <w:rsid w:val="00347F97"/>
    <w:rsid w:val="00350177"/>
    <w:rsid w:val="00350935"/>
    <w:rsid w:val="00353233"/>
    <w:rsid w:val="003532EC"/>
    <w:rsid w:val="00353796"/>
    <w:rsid w:val="00355B33"/>
    <w:rsid w:val="00355C55"/>
    <w:rsid w:val="00355E05"/>
    <w:rsid w:val="003621B2"/>
    <w:rsid w:val="00362D20"/>
    <w:rsid w:val="00363CBB"/>
    <w:rsid w:val="003641B8"/>
    <w:rsid w:val="00364551"/>
    <w:rsid w:val="003648C4"/>
    <w:rsid w:val="00365FFF"/>
    <w:rsid w:val="00367B14"/>
    <w:rsid w:val="00370EE1"/>
    <w:rsid w:val="003711C2"/>
    <w:rsid w:val="003713BB"/>
    <w:rsid w:val="00372389"/>
    <w:rsid w:val="003726B9"/>
    <w:rsid w:val="003726D5"/>
    <w:rsid w:val="00372F7D"/>
    <w:rsid w:val="0037372E"/>
    <w:rsid w:val="00374C89"/>
    <w:rsid w:val="003805A3"/>
    <w:rsid w:val="00381C2B"/>
    <w:rsid w:val="00381E9C"/>
    <w:rsid w:val="003834F1"/>
    <w:rsid w:val="00383B13"/>
    <w:rsid w:val="00384346"/>
    <w:rsid w:val="003844D5"/>
    <w:rsid w:val="00384564"/>
    <w:rsid w:val="0038546D"/>
    <w:rsid w:val="003857B2"/>
    <w:rsid w:val="0038602E"/>
    <w:rsid w:val="003878FC"/>
    <w:rsid w:val="00390DFB"/>
    <w:rsid w:val="00390E31"/>
    <w:rsid w:val="00391F82"/>
    <w:rsid w:val="00392DC7"/>
    <w:rsid w:val="00393512"/>
    <w:rsid w:val="00393E8E"/>
    <w:rsid w:val="0039627A"/>
    <w:rsid w:val="003971DD"/>
    <w:rsid w:val="003A002E"/>
    <w:rsid w:val="003A3692"/>
    <w:rsid w:val="003A3731"/>
    <w:rsid w:val="003A3CB6"/>
    <w:rsid w:val="003A63CA"/>
    <w:rsid w:val="003A695E"/>
    <w:rsid w:val="003B1D8D"/>
    <w:rsid w:val="003B3F78"/>
    <w:rsid w:val="003B43D1"/>
    <w:rsid w:val="003B43EE"/>
    <w:rsid w:val="003B6F25"/>
    <w:rsid w:val="003C057D"/>
    <w:rsid w:val="003C0C36"/>
    <w:rsid w:val="003C0E49"/>
    <w:rsid w:val="003C0F68"/>
    <w:rsid w:val="003C1C44"/>
    <w:rsid w:val="003C239A"/>
    <w:rsid w:val="003C3363"/>
    <w:rsid w:val="003C4030"/>
    <w:rsid w:val="003C64C4"/>
    <w:rsid w:val="003C6D70"/>
    <w:rsid w:val="003D0226"/>
    <w:rsid w:val="003D0DED"/>
    <w:rsid w:val="003D15D4"/>
    <w:rsid w:val="003D173E"/>
    <w:rsid w:val="003D18A7"/>
    <w:rsid w:val="003D2CC0"/>
    <w:rsid w:val="003D34DA"/>
    <w:rsid w:val="003D46AF"/>
    <w:rsid w:val="003D50C9"/>
    <w:rsid w:val="003D521F"/>
    <w:rsid w:val="003D56BF"/>
    <w:rsid w:val="003D6049"/>
    <w:rsid w:val="003E302B"/>
    <w:rsid w:val="003E33A7"/>
    <w:rsid w:val="003E3B82"/>
    <w:rsid w:val="003E3D74"/>
    <w:rsid w:val="003E439B"/>
    <w:rsid w:val="003E498E"/>
    <w:rsid w:val="003E5B7C"/>
    <w:rsid w:val="003E5CE6"/>
    <w:rsid w:val="003E6202"/>
    <w:rsid w:val="003E7412"/>
    <w:rsid w:val="003F04F2"/>
    <w:rsid w:val="003F0FCC"/>
    <w:rsid w:val="003F2F6E"/>
    <w:rsid w:val="003F3195"/>
    <w:rsid w:val="003F4C14"/>
    <w:rsid w:val="003F50E2"/>
    <w:rsid w:val="003F56F9"/>
    <w:rsid w:val="003F607F"/>
    <w:rsid w:val="003F6E46"/>
    <w:rsid w:val="003F7CF8"/>
    <w:rsid w:val="00402363"/>
    <w:rsid w:val="00402A9E"/>
    <w:rsid w:val="00405FC9"/>
    <w:rsid w:val="00407339"/>
    <w:rsid w:val="00411234"/>
    <w:rsid w:val="00411DE6"/>
    <w:rsid w:val="004127A4"/>
    <w:rsid w:val="00413795"/>
    <w:rsid w:val="00413C7F"/>
    <w:rsid w:val="00415156"/>
    <w:rsid w:val="00415A5E"/>
    <w:rsid w:val="00415E02"/>
    <w:rsid w:val="00420827"/>
    <w:rsid w:val="00421A27"/>
    <w:rsid w:val="00422A9A"/>
    <w:rsid w:val="004237B0"/>
    <w:rsid w:val="00423AEC"/>
    <w:rsid w:val="004246E1"/>
    <w:rsid w:val="0042474A"/>
    <w:rsid w:val="00425D54"/>
    <w:rsid w:val="00426C27"/>
    <w:rsid w:val="00426C5B"/>
    <w:rsid w:val="004272CA"/>
    <w:rsid w:val="00427DF6"/>
    <w:rsid w:val="00432ED2"/>
    <w:rsid w:val="0043365F"/>
    <w:rsid w:val="00433E29"/>
    <w:rsid w:val="00433FA5"/>
    <w:rsid w:val="00434036"/>
    <w:rsid w:val="0043575C"/>
    <w:rsid w:val="00435B56"/>
    <w:rsid w:val="00436099"/>
    <w:rsid w:val="00436633"/>
    <w:rsid w:val="004409E2"/>
    <w:rsid w:val="00440C12"/>
    <w:rsid w:val="0044310E"/>
    <w:rsid w:val="00443272"/>
    <w:rsid w:val="00443279"/>
    <w:rsid w:val="00443D54"/>
    <w:rsid w:val="00447C36"/>
    <w:rsid w:val="00447DDE"/>
    <w:rsid w:val="00452555"/>
    <w:rsid w:val="00452958"/>
    <w:rsid w:val="00453B88"/>
    <w:rsid w:val="00453FA8"/>
    <w:rsid w:val="0045487B"/>
    <w:rsid w:val="00454C61"/>
    <w:rsid w:val="00455D67"/>
    <w:rsid w:val="00457A3D"/>
    <w:rsid w:val="00460830"/>
    <w:rsid w:val="00460D4B"/>
    <w:rsid w:val="00461592"/>
    <w:rsid w:val="00463211"/>
    <w:rsid w:val="00463A1B"/>
    <w:rsid w:val="00463ADC"/>
    <w:rsid w:val="00464D0B"/>
    <w:rsid w:val="004650DB"/>
    <w:rsid w:val="0046531B"/>
    <w:rsid w:val="0046536A"/>
    <w:rsid w:val="0046587D"/>
    <w:rsid w:val="00467275"/>
    <w:rsid w:val="00467BBE"/>
    <w:rsid w:val="00467C2C"/>
    <w:rsid w:val="004704F3"/>
    <w:rsid w:val="00471280"/>
    <w:rsid w:val="00472B15"/>
    <w:rsid w:val="004740CF"/>
    <w:rsid w:val="00474552"/>
    <w:rsid w:val="00480378"/>
    <w:rsid w:val="004814F5"/>
    <w:rsid w:val="00481B34"/>
    <w:rsid w:val="004820CE"/>
    <w:rsid w:val="00482B58"/>
    <w:rsid w:val="0048552B"/>
    <w:rsid w:val="0048621A"/>
    <w:rsid w:val="00486683"/>
    <w:rsid w:val="00490CCE"/>
    <w:rsid w:val="0049363B"/>
    <w:rsid w:val="004938AD"/>
    <w:rsid w:val="00494899"/>
    <w:rsid w:val="00494AC1"/>
    <w:rsid w:val="00496F7A"/>
    <w:rsid w:val="004A0B21"/>
    <w:rsid w:val="004A2E13"/>
    <w:rsid w:val="004A34C0"/>
    <w:rsid w:val="004A41B5"/>
    <w:rsid w:val="004A438C"/>
    <w:rsid w:val="004A4685"/>
    <w:rsid w:val="004A4A7A"/>
    <w:rsid w:val="004A61F6"/>
    <w:rsid w:val="004A7348"/>
    <w:rsid w:val="004A75FF"/>
    <w:rsid w:val="004B0D8B"/>
    <w:rsid w:val="004B14A2"/>
    <w:rsid w:val="004B1527"/>
    <w:rsid w:val="004B2157"/>
    <w:rsid w:val="004B315F"/>
    <w:rsid w:val="004B3281"/>
    <w:rsid w:val="004B39C7"/>
    <w:rsid w:val="004B4C85"/>
    <w:rsid w:val="004B55A0"/>
    <w:rsid w:val="004B58BD"/>
    <w:rsid w:val="004B74BB"/>
    <w:rsid w:val="004B7AE4"/>
    <w:rsid w:val="004C0904"/>
    <w:rsid w:val="004C19CE"/>
    <w:rsid w:val="004C1DB7"/>
    <w:rsid w:val="004C28FF"/>
    <w:rsid w:val="004C5DDC"/>
    <w:rsid w:val="004C6095"/>
    <w:rsid w:val="004C6B93"/>
    <w:rsid w:val="004C7A4A"/>
    <w:rsid w:val="004D08EE"/>
    <w:rsid w:val="004D36C7"/>
    <w:rsid w:val="004D4271"/>
    <w:rsid w:val="004D477C"/>
    <w:rsid w:val="004D538B"/>
    <w:rsid w:val="004D6F5B"/>
    <w:rsid w:val="004D7310"/>
    <w:rsid w:val="004D7B52"/>
    <w:rsid w:val="004E1C9B"/>
    <w:rsid w:val="004E2130"/>
    <w:rsid w:val="004E2CFA"/>
    <w:rsid w:val="004E3096"/>
    <w:rsid w:val="004E35AE"/>
    <w:rsid w:val="004E3E09"/>
    <w:rsid w:val="004E4113"/>
    <w:rsid w:val="004E654A"/>
    <w:rsid w:val="004E65AF"/>
    <w:rsid w:val="004E709C"/>
    <w:rsid w:val="004E775A"/>
    <w:rsid w:val="004F00AA"/>
    <w:rsid w:val="004F1910"/>
    <w:rsid w:val="004F204A"/>
    <w:rsid w:val="004F498A"/>
    <w:rsid w:val="004F5D70"/>
    <w:rsid w:val="004F6690"/>
    <w:rsid w:val="004F6AC6"/>
    <w:rsid w:val="004F77DD"/>
    <w:rsid w:val="004F7C9B"/>
    <w:rsid w:val="0050018B"/>
    <w:rsid w:val="00501089"/>
    <w:rsid w:val="005016C0"/>
    <w:rsid w:val="00503603"/>
    <w:rsid w:val="00504096"/>
    <w:rsid w:val="00504C60"/>
    <w:rsid w:val="00504CB0"/>
    <w:rsid w:val="005062EB"/>
    <w:rsid w:val="0050788D"/>
    <w:rsid w:val="005118BC"/>
    <w:rsid w:val="00511B4A"/>
    <w:rsid w:val="005160D9"/>
    <w:rsid w:val="00517AA3"/>
    <w:rsid w:val="00520517"/>
    <w:rsid w:val="00521710"/>
    <w:rsid w:val="00521C0E"/>
    <w:rsid w:val="00524323"/>
    <w:rsid w:val="005271F3"/>
    <w:rsid w:val="0052732F"/>
    <w:rsid w:val="00530E33"/>
    <w:rsid w:val="005310C0"/>
    <w:rsid w:val="00533161"/>
    <w:rsid w:val="0053503C"/>
    <w:rsid w:val="00535865"/>
    <w:rsid w:val="00536653"/>
    <w:rsid w:val="00536943"/>
    <w:rsid w:val="00536C76"/>
    <w:rsid w:val="00541971"/>
    <w:rsid w:val="00542322"/>
    <w:rsid w:val="005439F6"/>
    <w:rsid w:val="00543B07"/>
    <w:rsid w:val="00544596"/>
    <w:rsid w:val="00544FA8"/>
    <w:rsid w:val="00546300"/>
    <w:rsid w:val="00550E43"/>
    <w:rsid w:val="00551336"/>
    <w:rsid w:val="005521F5"/>
    <w:rsid w:val="00552EB4"/>
    <w:rsid w:val="00553013"/>
    <w:rsid w:val="00553A8E"/>
    <w:rsid w:val="00554D5C"/>
    <w:rsid w:val="005560A9"/>
    <w:rsid w:val="00556B9E"/>
    <w:rsid w:val="00556DA3"/>
    <w:rsid w:val="005600F1"/>
    <w:rsid w:val="00560C03"/>
    <w:rsid w:val="00562CAF"/>
    <w:rsid w:val="00563AB3"/>
    <w:rsid w:val="00563C28"/>
    <w:rsid w:val="005645CE"/>
    <w:rsid w:val="00566084"/>
    <w:rsid w:val="0056608A"/>
    <w:rsid w:val="005711ED"/>
    <w:rsid w:val="00571687"/>
    <w:rsid w:val="0057289F"/>
    <w:rsid w:val="0057401E"/>
    <w:rsid w:val="0057453C"/>
    <w:rsid w:val="00574AEF"/>
    <w:rsid w:val="00576855"/>
    <w:rsid w:val="00577DE3"/>
    <w:rsid w:val="00580536"/>
    <w:rsid w:val="00580D2D"/>
    <w:rsid w:val="0058225F"/>
    <w:rsid w:val="00582634"/>
    <w:rsid w:val="00584834"/>
    <w:rsid w:val="005869B4"/>
    <w:rsid w:val="00587114"/>
    <w:rsid w:val="005877B7"/>
    <w:rsid w:val="00587955"/>
    <w:rsid w:val="00587C90"/>
    <w:rsid w:val="00590476"/>
    <w:rsid w:val="00590854"/>
    <w:rsid w:val="00590C7A"/>
    <w:rsid w:val="005924E0"/>
    <w:rsid w:val="00592A08"/>
    <w:rsid w:val="00594302"/>
    <w:rsid w:val="00595FEA"/>
    <w:rsid w:val="00596799"/>
    <w:rsid w:val="005A0900"/>
    <w:rsid w:val="005A0DAF"/>
    <w:rsid w:val="005A11C1"/>
    <w:rsid w:val="005A15AB"/>
    <w:rsid w:val="005A1EB8"/>
    <w:rsid w:val="005A226C"/>
    <w:rsid w:val="005A243F"/>
    <w:rsid w:val="005A293B"/>
    <w:rsid w:val="005A2A57"/>
    <w:rsid w:val="005A2D10"/>
    <w:rsid w:val="005A302E"/>
    <w:rsid w:val="005A39C8"/>
    <w:rsid w:val="005A4D2F"/>
    <w:rsid w:val="005A7B31"/>
    <w:rsid w:val="005B1C66"/>
    <w:rsid w:val="005B282B"/>
    <w:rsid w:val="005B33C9"/>
    <w:rsid w:val="005B42E2"/>
    <w:rsid w:val="005B43A9"/>
    <w:rsid w:val="005B554F"/>
    <w:rsid w:val="005B7DE4"/>
    <w:rsid w:val="005C00FA"/>
    <w:rsid w:val="005C012E"/>
    <w:rsid w:val="005C1B96"/>
    <w:rsid w:val="005C7169"/>
    <w:rsid w:val="005C7A80"/>
    <w:rsid w:val="005C7D11"/>
    <w:rsid w:val="005D0174"/>
    <w:rsid w:val="005D0734"/>
    <w:rsid w:val="005D0782"/>
    <w:rsid w:val="005D0CB5"/>
    <w:rsid w:val="005D128A"/>
    <w:rsid w:val="005D1830"/>
    <w:rsid w:val="005D2F90"/>
    <w:rsid w:val="005D51BE"/>
    <w:rsid w:val="005D6070"/>
    <w:rsid w:val="005E0BD1"/>
    <w:rsid w:val="005E0D5D"/>
    <w:rsid w:val="005E192A"/>
    <w:rsid w:val="005E25EF"/>
    <w:rsid w:val="005E262C"/>
    <w:rsid w:val="005E5686"/>
    <w:rsid w:val="005F0AD1"/>
    <w:rsid w:val="005F2803"/>
    <w:rsid w:val="005F321E"/>
    <w:rsid w:val="005F390C"/>
    <w:rsid w:val="005F395C"/>
    <w:rsid w:val="005F486A"/>
    <w:rsid w:val="005F4BBE"/>
    <w:rsid w:val="005F5340"/>
    <w:rsid w:val="005F538B"/>
    <w:rsid w:val="005F55EC"/>
    <w:rsid w:val="005F59D6"/>
    <w:rsid w:val="006010DD"/>
    <w:rsid w:val="00604BD9"/>
    <w:rsid w:val="006052E2"/>
    <w:rsid w:val="006059D7"/>
    <w:rsid w:val="00605A10"/>
    <w:rsid w:val="00605BAE"/>
    <w:rsid w:val="00606672"/>
    <w:rsid w:val="00606AEF"/>
    <w:rsid w:val="006108FA"/>
    <w:rsid w:val="00611F79"/>
    <w:rsid w:val="00612A1B"/>
    <w:rsid w:val="00613238"/>
    <w:rsid w:val="0061333F"/>
    <w:rsid w:val="00613E0D"/>
    <w:rsid w:val="00614069"/>
    <w:rsid w:val="006145F2"/>
    <w:rsid w:val="00615EAD"/>
    <w:rsid w:val="006166B7"/>
    <w:rsid w:val="00617276"/>
    <w:rsid w:val="006220A8"/>
    <w:rsid w:val="006229E8"/>
    <w:rsid w:val="00623417"/>
    <w:rsid w:val="00624920"/>
    <w:rsid w:val="006260A8"/>
    <w:rsid w:val="00630004"/>
    <w:rsid w:val="00630C5F"/>
    <w:rsid w:val="0063131D"/>
    <w:rsid w:val="00632042"/>
    <w:rsid w:val="006338FB"/>
    <w:rsid w:val="00635BEA"/>
    <w:rsid w:val="0063667E"/>
    <w:rsid w:val="00637302"/>
    <w:rsid w:val="0063752D"/>
    <w:rsid w:val="00637A51"/>
    <w:rsid w:val="00641B21"/>
    <w:rsid w:val="00643EC7"/>
    <w:rsid w:val="00645CFD"/>
    <w:rsid w:val="00647ECC"/>
    <w:rsid w:val="00650AF9"/>
    <w:rsid w:val="00651BD0"/>
    <w:rsid w:val="00652EC3"/>
    <w:rsid w:val="00655A43"/>
    <w:rsid w:val="006568E1"/>
    <w:rsid w:val="006579FC"/>
    <w:rsid w:val="006601B2"/>
    <w:rsid w:val="00661636"/>
    <w:rsid w:val="00661A6E"/>
    <w:rsid w:val="0066453D"/>
    <w:rsid w:val="00665508"/>
    <w:rsid w:val="00665666"/>
    <w:rsid w:val="006656CE"/>
    <w:rsid w:val="00665B6B"/>
    <w:rsid w:val="00666A7D"/>
    <w:rsid w:val="00667556"/>
    <w:rsid w:val="0066757F"/>
    <w:rsid w:val="006712FE"/>
    <w:rsid w:val="006721BE"/>
    <w:rsid w:val="00672B30"/>
    <w:rsid w:val="0067308A"/>
    <w:rsid w:val="006730DA"/>
    <w:rsid w:val="00673721"/>
    <w:rsid w:val="00674124"/>
    <w:rsid w:val="0067436E"/>
    <w:rsid w:val="0067550B"/>
    <w:rsid w:val="00675856"/>
    <w:rsid w:val="00676D23"/>
    <w:rsid w:val="00676D5E"/>
    <w:rsid w:val="00676EE0"/>
    <w:rsid w:val="006772E8"/>
    <w:rsid w:val="0068092A"/>
    <w:rsid w:val="006814F7"/>
    <w:rsid w:val="0068195C"/>
    <w:rsid w:val="00681E26"/>
    <w:rsid w:val="00683104"/>
    <w:rsid w:val="00683DF5"/>
    <w:rsid w:val="006847B2"/>
    <w:rsid w:val="00684A46"/>
    <w:rsid w:val="006861E0"/>
    <w:rsid w:val="00687F3D"/>
    <w:rsid w:val="00691A7E"/>
    <w:rsid w:val="006927A1"/>
    <w:rsid w:val="00692D82"/>
    <w:rsid w:val="006937DA"/>
    <w:rsid w:val="00697CC0"/>
    <w:rsid w:val="006A15D8"/>
    <w:rsid w:val="006A5EBF"/>
    <w:rsid w:val="006A61FE"/>
    <w:rsid w:val="006A692C"/>
    <w:rsid w:val="006B2D8A"/>
    <w:rsid w:val="006B302B"/>
    <w:rsid w:val="006B3EA7"/>
    <w:rsid w:val="006B4250"/>
    <w:rsid w:val="006B427C"/>
    <w:rsid w:val="006B4B2E"/>
    <w:rsid w:val="006B572D"/>
    <w:rsid w:val="006B6F77"/>
    <w:rsid w:val="006B7E15"/>
    <w:rsid w:val="006C024C"/>
    <w:rsid w:val="006C1048"/>
    <w:rsid w:val="006C3E37"/>
    <w:rsid w:val="006C4290"/>
    <w:rsid w:val="006C4945"/>
    <w:rsid w:val="006C5494"/>
    <w:rsid w:val="006C5F0D"/>
    <w:rsid w:val="006D0F8E"/>
    <w:rsid w:val="006D15CE"/>
    <w:rsid w:val="006D2D5D"/>
    <w:rsid w:val="006D47D7"/>
    <w:rsid w:val="006D507C"/>
    <w:rsid w:val="006D663E"/>
    <w:rsid w:val="006D70AC"/>
    <w:rsid w:val="006E01EA"/>
    <w:rsid w:val="006E0217"/>
    <w:rsid w:val="006E0511"/>
    <w:rsid w:val="006E0F08"/>
    <w:rsid w:val="006E1512"/>
    <w:rsid w:val="006E2AD9"/>
    <w:rsid w:val="006E2DC4"/>
    <w:rsid w:val="006E305B"/>
    <w:rsid w:val="006E3587"/>
    <w:rsid w:val="006E43A1"/>
    <w:rsid w:val="006E449C"/>
    <w:rsid w:val="006E45F7"/>
    <w:rsid w:val="006E4AD4"/>
    <w:rsid w:val="006E518E"/>
    <w:rsid w:val="006E5457"/>
    <w:rsid w:val="006E7511"/>
    <w:rsid w:val="006E7BB1"/>
    <w:rsid w:val="006F1383"/>
    <w:rsid w:val="006F1E0D"/>
    <w:rsid w:val="006F1E4A"/>
    <w:rsid w:val="006F1E96"/>
    <w:rsid w:val="006F25EE"/>
    <w:rsid w:val="006F2EDE"/>
    <w:rsid w:val="006F357C"/>
    <w:rsid w:val="006F362C"/>
    <w:rsid w:val="006F377E"/>
    <w:rsid w:val="006F3D08"/>
    <w:rsid w:val="006F4071"/>
    <w:rsid w:val="006F57BF"/>
    <w:rsid w:val="006F57F6"/>
    <w:rsid w:val="006F67FA"/>
    <w:rsid w:val="006F7324"/>
    <w:rsid w:val="006F7D80"/>
    <w:rsid w:val="00700255"/>
    <w:rsid w:val="007013BE"/>
    <w:rsid w:val="007013FD"/>
    <w:rsid w:val="00701C03"/>
    <w:rsid w:val="00702888"/>
    <w:rsid w:val="00702951"/>
    <w:rsid w:val="00706747"/>
    <w:rsid w:val="0070743F"/>
    <w:rsid w:val="00707A61"/>
    <w:rsid w:val="007110EC"/>
    <w:rsid w:val="007111C4"/>
    <w:rsid w:val="007115AE"/>
    <w:rsid w:val="0071279D"/>
    <w:rsid w:val="00713A77"/>
    <w:rsid w:val="00713F8B"/>
    <w:rsid w:val="00714014"/>
    <w:rsid w:val="007140C0"/>
    <w:rsid w:val="0072278A"/>
    <w:rsid w:val="00723C96"/>
    <w:rsid w:val="007241E0"/>
    <w:rsid w:val="00724789"/>
    <w:rsid w:val="00724A3C"/>
    <w:rsid w:val="00727785"/>
    <w:rsid w:val="00727971"/>
    <w:rsid w:val="00730851"/>
    <w:rsid w:val="00733A99"/>
    <w:rsid w:val="007340DA"/>
    <w:rsid w:val="0073413F"/>
    <w:rsid w:val="007341B0"/>
    <w:rsid w:val="00734261"/>
    <w:rsid w:val="00734B9F"/>
    <w:rsid w:val="0073599B"/>
    <w:rsid w:val="007359DA"/>
    <w:rsid w:val="00736FC3"/>
    <w:rsid w:val="007377E6"/>
    <w:rsid w:val="007409A8"/>
    <w:rsid w:val="007433A8"/>
    <w:rsid w:val="0074518B"/>
    <w:rsid w:val="007503C0"/>
    <w:rsid w:val="00751312"/>
    <w:rsid w:val="0075180B"/>
    <w:rsid w:val="00752062"/>
    <w:rsid w:val="00752B40"/>
    <w:rsid w:val="007545BA"/>
    <w:rsid w:val="00755CB9"/>
    <w:rsid w:val="00756AE7"/>
    <w:rsid w:val="00756CDD"/>
    <w:rsid w:val="0075758D"/>
    <w:rsid w:val="00757913"/>
    <w:rsid w:val="00757F88"/>
    <w:rsid w:val="0076004C"/>
    <w:rsid w:val="00760415"/>
    <w:rsid w:val="0076049B"/>
    <w:rsid w:val="00760DAC"/>
    <w:rsid w:val="007614C1"/>
    <w:rsid w:val="0076154B"/>
    <w:rsid w:val="007619C5"/>
    <w:rsid w:val="00762838"/>
    <w:rsid w:val="0076302C"/>
    <w:rsid w:val="00763291"/>
    <w:rsid w:val="0076403E"/>
    <w:rsid w:val="007655D1"/>
    <w:rsid w:val="00766F80"/>
    <w:rsid w:val="00767B7E"/>
    <w:rsid w:val="00770210"/>
    <w:rsid w:val="0077022C"/>
    <w:rsid w:val="00770588"/>
    <w:rsid w:val="00770983"/>
    <w:rsid w:val="00770CD4"/>
    <w:rsid w:val="007717BF"/>
    <w:rsid w:val="0077197F"/>
    <w:rsid w:val="00772330"/>
    <w:rsid w:val="00773A7E"/>
    <w:rsid w:val="00774299"/>
    <w:rsid w:val="00774AE1"/>
    <w:rsid w:val="00774E54"/>
    <w:rsid w:val="0077679D"/>
    <w:rsid w:val="007805BF"/>
    <w:rsid w:val="007816B6"/>
    <w:rsid w:val="0078175A"/>
    <w:rsid w:val="0078193D"/>
    <w:rsid w:val="00783048"/>
    <w:rsid w:val="00783D14"/>
    <w:rsid w:val="00783DC0"/>
    <w:rsid w:val="00783E7E"/>
    <w:rsid w:val="0078438B"/>
    <w:rsid w:val="007901B5"/>
    <w:rsid w:val="00790932"/>
    <w:rsid w:val="0079218E"/>
    <w:rsid w:val="007924E9"/>
    <w:rsid w:val="00792532"/>
    <w:rsid w:val="00793A26"/>
    <w:rsid w:val="00795E02"/>
    <w:rsid w:val="00795F76"/>
    <w:rsid w:val="007966E3"/>
    <w:rsid w:val="0079678C"/>
    <w:rsid w:val="00796B7E"/>
    <w:rsid w:val="00796CB5"/>
    <w:rsid w:val="00797C9F"/>
    <w:rsid w:val="007A11A6"/>
    <w:rsid w:val="007A4FA7"/>
    <w:rsid w:val="007A5937"/>
    <w:rsid w:val="007A6A6B"/>
    <w:rsid w:val="007A73D3"/>
    <w:rsid w:val="007A77AF"/>
    <w:rsid w:val="007B0427"/>
    <w:rsid w:val="007B1882"/>
    <w:rsid w:val="007B19BB"/>
    <w:rsid w:val="007B1EDA"/>
    <w:rsid w:val="007B33E8"/>
    <w:rsid w:val="007B5375"/>
    <w:rsid w:val="007B6315"/>
    <w:rsid w:val="007C12DA"/>
    <w:rsid w:val="007C1382"/>
    <w:rsid w:val="007C1E4F"/>
    <w:rsid w:val="007C5B02"/>
    <w:rsid w:val="007D252E"/>
    <w:rsid w:val="007D2ADC"/>
    <w:rsid w:val="007D4298"/>
    <w:rsid w:val="007D62B4"/>
    <w:rsid w:val="007D6882"/>
    <w:rsid w:val="007D6D15"/>
    <w:rsid w:val="007E0F93"/>
    <w:rsid w:val="007E0FCD"/>
    <w:rsid w:val="007E2F50"/>
    <w:rsid w:val="007E3046"/>
    <w:rsid w:val="007E3624"/>
    <w:rsid w:val="007E4737"/>
    <w:rsid w:val="007E5C3D"/>
    <w:rsid w:val="007E63BC"/>
    <w:rsid w:val="007E75B8"/>
    <w:rsid w:val="007E7779"/>
    <w:rsid w:val="007F0F5C"/>
    <w:rsid w:val="007F1EF8"/>
    <w:rsid w:val="007F4B29"/>
    <w:rsid w:val="007F54AD"/>
    <w:rsid w:val="007F5A04"/>
    <w:rsid w:val="007F5C04"/>
    <w:rsid w:val="0080131E"/>
    <w:rsid w:val="0080148A"/>
    <w:rsid w:val="00801ECA"/>
    <w:rsid w:val="00802A03"/>
    <w:rsid w:val="00802C24"/>
    <w:rsid w:val="00803B02"/>
    <w:rsid w:val="00803B38"/>
    <w:rsid w:val="00804111"/>
    <w:rsid w:val="008041F1"/>
    <w:rsid w:val="00804C56"/>
    <w:rsid w:val="008052E6"/>
    <w:rsid w:val="00805876"/>
    <w:rsid w:val="008065E5"/>
    <w:rsid w:val="00807BE1"/>
    <w:rsid w:val="0081028D"/>
    <w:rsid w:val="008109C4"/>
    <w:rsid w:val="00810A34"/>
    <w:rsid w:val="008111E6"/>
    <w:rsid w:val="008118E2"/>
    <w:rsid w:val="00812118"/>
    <w:rsid w:val="00812DC2"/>
    <w:rsid w:val="00813BF6"/>
    <w:rsid w:val="00815A39"/>
    <w:rsid w:val="0081770A"/>
    <w:rsid w:val="0082108B"/>
    <w:rsid w:val="008213C2"/>
    <w:rsid w:val="00821902"/>
    <w:rsid w:val="00822BD5"/>
    <w:rsid w:val="00823F00"/>
    <w:rsid w:val="0082449E"/>
    <w:rsid w:val="008250F3"/>
    <w:rsid w:val="00825A69"/>
    <w:rsid w:val="00826373"/>
    <w:rsid w:val="00826E19"/>
    <w:rsid w:val="0082754D"/>
    <w:rsid w:val="00830D5C"/>
    <w:rsid w:val="00831435"/>
    <w:rsid w:val="00833CCC"/>
    <w:rsid w:val="008340FE"/>
    <w:rsid w:val="0083508A"/>
    <w:rsid w:val="008350F6"/>
    <w:rsid w:val="00836070"/>
    <w:rsid w:val="008366E0"/>
    <w:rsid w:val="00840538"/>
    <w:rsid w:val="00841BE3"/>
    <w:rsid w:val="00842438"/>
    <w:rsid w:val="00843AE9"/>
    <w:rsid w:val="00844F93"/>
    <w:rsid w:val="0084504C"/>
    <w:rsid w:val="0084542F"/>
    <w:rsid w:val="008455DF"/>
    <w:rsid w:val="00846F50"/>
    <w:rsid w:val="008512D5"/>
    <w:rsid w:val="00852766"/>
    <w:rsid w:val="0085364F"/>
    <w:rsid w:val="00853917"/>
    <w:rsid w:val="00854346"/>
    <w:rsid w:val="0085470D"/>
    <w:rsid w:val="00854F43"/>
    <w:rsid w:val="008616AA"/>
    <w:rsid w:val="00861DFB"/>
    <w:rsid w:val="00862F2B"/>
    <w:rsid w:val="0086306B"/>
    <w:rsid w:val="008630BE"/>
    <w:rsid w:val="008649B1"/>
    <w:rsid w:val="00867107"/>
    <w:rsid w:val="00867D82"/>
    <w:rsid w:val="0087030A"/>
    <w:rsid w:val="0087242D"/>
    <w:rsid w:val="0087571C"/>
    <w:rsid w:val="008773B0"/>
    <w:rsid w:val="00877591"/>
    <w:rsid w:val="008779B9"/>
    <w:rsid w:val="00880CC2"/>
    <w:rsid w:val="008810EE"/>
    <w:rsid w:val="00882B4C"/>
    <w:rsid w:val="00883D1C"/>
    <w:rsid w:val="00884157"/>
    <w:rsid w:val="0088487B"/>
    <w:rsid w:val="00884C87"/>
    <w:rsid w:val="008853C3"/>
    <w:rsid w:val="008911C1"/>
    <w:rsid w:val="008917A0"/>
    <w:rsid w:val="00891844"/>
    <w:rsid w:val="00891DAB"/>
    <w:rsid w:val="0089236B"/>
    <w:rsid w:val="00892A59"/>
    <w:rsid w:val="00892D6A"/>
    <w:rsid w:val="008932B4"/>
    <w:rsid w:val="00893B1F"/>
    <w:rsid w:val="0089507E"/>
    <w:rsid w:val="0089629A"/>
    <w:rsid w:val="008968AE"/>
    <w:rsid w:val="00897310"/>
    <w:rsid w:val="008A05B0"/>
    <w:rsid w:val="008A283A"/>
    <w:rsid w:val="008A2EBE"/>
    <w:rsid w:val="008A5834"/>
    <w:rsid w:val="008A7D7B"/>
    <w:rsid w:val="008B0772"/>
    <w:rsid w:val="008B4F31"/>
    <w:rsid w:val="008B57F8"/>
    <w:rsid w:val="008B629D"/>
    <w:rsid w:val="008B715E"/>
    <w:rsid w:val="008C055D"/>
    <w:rsid w:val="008C134B"/>
    <w:rsid w:val="008C2866"/>
    <w:rsid w:val="008C534D"/>
    <w:rsid w:val="008C538A"/>
    <w:rsid w:val="008C550C"/>
    <w:rsid w:val="008C672B"/>
    <w:rsid w:val="008C6800"/>
    <w:rsid w:val="008C7111"/>
    <w:rsid w:val="008C7E66"/>
    <w:rsid w:val="008D1B7D"/>
    <w:rsid w:val="008D230C"/>
    <w:rsid w:val="008D2315"/>
    <w:rsid w:val="008D286A"/>
    <w:rsid w:val="008D3C5C"/>
    <w:rsid w:val="008D67D5"/>
    <w:rsid w:val="008D69A2"/>
    <w:rsid w:val="008D7CE7"/>
    <w:rsid w:val="008E00C2"/>
    <w:rsid w:val="008E096E"/>
    <w:rsid w:val="008E232C"/>
    <w:rsid w:val="008E2B0A"/>
    <w:rsid w:val="008E2B6A"/>
    <w:rsid w:val="008E2FB2"/>
    <w:rsid w:val="008E5A85"/>
    <w:rsid w:val="008E76F0"/>
    <w:rsid w:val="008E7D87"/>
    <w:rsid w:val="008F0778"/>
    <w:rsid w:val="008F1105"/>
    <w:rsid w:val="008F1E3A"/>
    <w:rsid w:val="008F21C5"/>
    <w:rsid w:val="008F24D3"/>
    <w:rsid w:val="008F40E9"/>
    <w:rsid w:val="008F68EE"/>
    <w:rsid w:val="00901F20"/>
    <w:rsid w:val="009027F1"/>
    <w:rsid w:val="00903193"/>
    <w:rsid w:val="00905129"/>
    <w:rsid w:val="009054E7"/>
    <w:rsid w:val="00906001"/>
    <w:rsid w:val="00911C6B"/>
    <w:rsid w:val="00912E10"/>
    <w:rsid w:val="009132A9"/>
    <w:rsid w:val="009144F2"/>
    <w:rsid w:val="00914617"/>
    <w:rsid w:val="00915889"/>
    <w:rsid w:val="009203F3"/>
    <w:rsid w:val="009234F7"/>
    <w:rsid w:val="00924662"/>
    <w:rsid w:val="0092709F"/>
    <w:rsid w:val="009303F6"/>
    <w:rsid w:val="00930870"/>
    <w:rsid w:val="0093136D"/>
    <w:rsid w:val="009317D8"/>
    <w:rsid w:val="00932977"/>
    <w:rsid w:val="00934F1A"/>
    <w:rsid w:val="009408BA"/>
    <w:rsid w:val="00940BBA"/>
    <w:rsid w:val="00940C34"/>
    <w:rsid w:val="0094160A"/>
    <w:rsid w:val="0094213F"/>
    <w:rsid w:val="009429A8"/>
    <w:rsid w:val="00942AA2"/>
    <w:rsid w:val="00945E63"/>
    <w:rsid w:val="00945FD5"/>
    <w:rsid w:val="009463E4"/>
    <w:rsid w:val="009472F6"/>
    <w:rsid w:val="0095006B"/>
    <w:rsid w:val="009530CD"/>
    <w:rsid w:val="00953404"/>
    <w:rsid w:val="00954929"/>
    <w:rsid w:val="009550C7"/>
    <w:rsid w:val="0095519F"/>
    <w:rsid w:val="009556B0"/>
    <w:rsid w:val="00955BD5"/>
    <w:rsid w:val="00955C95"/>
    <w:rsid w:val="00955D9C"/>
    <w:rsid w:val="009563E7"/>
    <w:rsid w:val="00956907"/>
    <w:rsid w:val="0095704E"/>
    <w:rsid w:val="0095782C"/>
    <w:rsid w:val="00957E5F"/>
    <w:rsid w:val="00957F79"/>
    <w:rsid w:val="00960893"/>
    <w:rsid w:val="00960AD2"/>
    <w:rsid w:val="00960EE5"/>
    <w:rsid w:val="009612DF"/>
    <w:rsid w:val="00965D98"/>
    <w:rsid w:val="009679BD"/>
    <w:rsid w:val="009708C9"/>
    <w:rsid w:val="00970B7F"/>
    <w:rsid w:val="00970D19"/>
    <w:rsid w:val="009710BF"/>
    <w:rsid w:val="009723ED"/>
    <w:rsid w:val="009731B3"/>
    <w:rsid w:val="0097350D"/>
    <w:rsid w:val="00975E0A"/>
    <w:rsid w:val="0097600E"/>
    <w:rsid w:val="00977196"/>
    <w:rsid w:val="009807C0"/>
    <w:rsid w:val="00982B2F"/>
    <w:rsid w:val="009833E8"/>
    <w:rsid w:val="009835FD"/>
    <w:rsid w:val="009839F3"/>
    <w:rsid w:val="0098560B"/>
    <w:rsid w:val="00987DE2"/>
    <w:rsid w:val="00990474"/>
    <w:rsid w:val="009907B4"/>
    <w:rsid w:val="00992427"/>
    <w:rsid w:val="00992F04"/>
    <w:rsid w:val="009941B1"/>
    <w:rsid w:val="0099744F"/>
    <w:rsid w:val="00997536"/>
    <w:rsid w:val="009979DF"/>
    <w:rsid w:val="009A0578"/>
    <w:rsid w:val="009A0C4A"/>
    <w:rsid w:val="009A0DD3"/>
    <w:rsid w:val="009A1DCE"/>
    <w:rsid w:val="009A2CD9"/>
    <w:rsid w:val="009A38CE"/>
    <w:rsid w:val="009A4B51"/>
    <w:rsid w:val="009A4B73"/>
    <w:rsid w:val="009A4F6E"/>
    <w:rsid w:val="009A5513"/>
    <w:rsid w:val="009A5BA8"/>
    <w:rsid w:val="009A5CFC"/>
    <w:rsid w:val="009A63E3"/>
    <w:rsid w:val="009A6E83"/>
    <w:rsid w:val="009B06AA"/>
    <w:rsid w:val="009B0863"/>
    <w:rsid w:val="009B0A15"/>
    <w:rsid w:val="009B14A3"/>
    <w:rsid w:val="009B2842"/>
    <w:rsid w:val="009B41CA"/>
    <w:rsid w:val="009B4B8C"/>
    <w:rsid w:val="009B690B"/>
    <w:rsid w:val="009B736F"/>
    <w:rsid w:val="009B7D05"/>
    <w:rsid w:val="009B7FE6"/>
    <w:rsid w:val="009C054D"/>
    <w:rsid w:val="009C212B"/>
    <w:rsid w:val="009C21AC"/>
    <w:rsid w:val="009C25C7"/>
    <w:rsid w:val="009C360C"/>
    <w:rsid w:val="009C6C91"/>
    <w:rsid w:val="009D0B2B"/>
    <w:rsid w:val="009D17E3"/>
    <w:rsid w:val="009D1B70"/>
    <w:rsid w:val="009D1E40"/>
    <w:rsid w:val="009D2085"/>
    <w:rsid w:val="009D3A5E"/>
    <w:rsid w:val="009D45B6"/>
    <w:rsid w:val="009D5299"/>
    <w:rsid w:val="009D5658"/>
    <w:rsid w:val="009D5E1E"/>
    <w:rsid w:val="009D7618"/>
    <w:rsid w:val="009D7CD7"/>
    <w:rsid w:val="009E053A"/>
    <w:rsid w:val="009E1FBE"/>
    <w:rsid w:val="009E2378"/>
    <w:rsid w:val="009E3980"/>
    <w:rsid w:val="009E6B0C"/>
    <w:rsid w:val="009E778A"/>
    <w:rsid w:val="009E7E25"/>
    <w:rsid w:val="009F02A0"/>
    <w:rsid w:val="009F09D5"/>
    <w:rsid w:val="009F0D15"/>
    <w:rsid w:val="009F0EE7"/>
    <w:rsid w:val="009F1617"/>
    <w:rsid w:val="009F1BF6"/>
    <w:rsid w:val="009F256B"/>
    <w:rsid w:val="009F2977"/>
    <w:rsid w:val="009F2A41"/>
    <w:rsid w:val="009F2FCB"/>
    <w:rsid w:val="009F63BB"/>
    <w:rsid w:val="009F7A1F"/>
    <w:rsid w:val="00A008A8"/>
    <w:rsid w:val="00A01E16"/>
    <w:rsid w:val="00A048FC"/>
    <w:rsid w:val="00A0670B"/>
    <w:rsid w:val="00A06BD0"/>
    <w:rsid w:val="00A06D3F"/>
    <w:rsid w:val="00A0748E"/>
    <w:rsid w:val="00A07580"/>
    <w:rsid w:val="00A07943"/>
    <w:rsid w:val="00A07BD4"/>
    <w:rsid w:val="00A07D5F"/>
    <w:rsid w:val="00A11E6E"/>
    <w:rsid w:val="00A12070"/>
    <w:rsid w:val="00A12113"/>
    <w:rsid w:val="00A1244A"/>
    <w:rsid w:val="00A1278C"/>
    <w:rsid w:val="00A12FDB"/>
    <w:rsid w:val="00A134B2"/>
    <w:rsid w:val="00A173B4"/>
    <w:rsid w:val="00A17661"/>
    <w:rsid w:val="00A2011B"/>
    <w:rsid w:val="00A217F4"/>
    <w:rsid w:val="00A229E3"/>
    <w:rsid w:val="00A25494"/>
    <w:rsid w:val="00A26F88"/>
    <w:rsid w:val="00A2768B"/>
    <w:rsid w:val="00A27A4E"/>
    <w:rsid w:val="00A32D95"/>
    <w:rsid w:val="00A3347F"/>
    <w:rsid w:val="00A33D45"/>
    <w:rsid w:val="00A345FB"/>
    <w:rsid w:val="00A35148"/>
    <w:rsid w:val="00A35B2A"/>
    <w:rsid w:val="00A35E79"/>
    <w:rsid w:val="00A37019"/>
    <w:rsid w:val="00A37C8E"/>
    <w:rsid w:val="00A41B88"/>
    <w:rsid w:val="00A41FF4"/>
    <w:rsid w:val="00A43942"/>
    <w:rsid w:val="00A4411F"/>
    <w:rsid w:val="00A44330"/>
    <w:rsid w:val="00A4470A"/>
    <w:rsid w:val="00A4471F"/>
    <w:rsid w:val="00A44F02"/>
    <w:rsid w:val="00A45694"/>
    <w:rsid w:val="00A459DC"/>
    <w:rsid w:val="00A45AAA"/>
    <w:rsid w:val="00A45E4C"/>
    <w:rsid w:val="00A469DE"/>
    <w:rsid w:val="00A46C34"/>
    <w:rsid w:val="00A5066D"/>
    <w:rsid w:val="00A50870"/>
    <w:rsid w:val="00A50AAD"/>
    <w:rsid w:val="00A50BCC"/>
    <w:rsid w:val="00A5358E"/>
    <w:rsid w:val="00A54B46"/>
    <w:rsid w:val="00A54CB7"/>
    <w:rsid w:val="00A56EAC"/>
    <w:rsid w:val="00A572F6"/>
    <w:rsid w:val="00A579DB"/>
    <w:rsid w:val="00A61946"/>
    <w:rsid w:val="00A62973"/>
    <w:rsid w:val="00A62A95"/>
    <w:rsid w:val="00A62C75"/>
    <w:rsid w:val="00A62F80"/>
    <w:rsid w:val="00A64611"/>
    <w:rsid w:val="00A656A3"/>
    <w:rsid w:val="00A65A6B"/>
    <w:rsid w:val="00A65E41"/>
    <w:rsid w:val="00A67A8A"/>
    <w:rsid w:val="00A72DD1"/>
    <w:rsid w:val="00A734B1"/>
    <w:rsid w:val="00A7379F"/>
    <w:rsid w:val="00A750C6"/>
    <w:rsid w:val="00A7583E"/>
    <w:rsid w:val="00A76816"/>
    <w:rsid w:val="00A770CC"/>
    <w:rsid w:val="00A7748B"/>
    <w:rsid w:val="00A77700"/>
    <w:rsid w:val="00A7794F"/>
    <w:rsid w:val="00A817ED"/>
    <w:rsid w:val="00A820EE"/>
    <w:rsid w:val="00A84441"/>
    <w:rsid w:val="00A85526"/>
    <w:rsid w:val="00A879DC"/>
    <w:rsid w:val="00A9052E"/>
    <w:rsid w:val="00A93443"/>
    <w:rsid w:val="00A938E3"/>
    <w:rsid w:val="00A947B8"/>
    <w:rsid w:val="00A94A48"/>
    <w:rsid w:val="00A94EF7"/>
    <w:rsid w:val="00A962DF"/>
    <w:rsid w:val="00A9753C"/>
    <w:rsid w:val="00AA068B"/>
    <w:rsid w:val="00AA11A0"/>
    <w:rsid w:val="00AA1835"/>
    <w:rsid w:val="00AA45C9"/>
    <w:rsid w:val="00AA6661"/>
    <w:rsid w:val="00AA7CE5"/>
    <w:rsid w:val="00AB01EF"/>
    <w:rsid w:val="00AB0F30"/>
    <w:rsid w:val="00AB18A4"/>
    <w:rsid w:val="00AB2948"/>
    <w:rsid w:val="00AB2D98"/>
    <w:rsid w:val="00AB522D"/>
    <w:rsid w:val="00AB689E"/>
    <w:rsid w:val="00AB6D58"/>
    <w:rsid w:val="00AB6F05"/>
    <w:rsid w:val="00AB7120"/>
    <w:rsid w:val="00AC16D1"/>
    <w:rsid w:val="00AC1BBA"/>
    <w:rsid w:val="00AC3A40"/>
    <w:rsid w:val="00AC51F1"/>
    <w:rsid w:val="00AC631D"/>
    <w:rsid w:val="00AC6704"/>
    <w:rsid w:val="00AD0C8B"/>
    <w:rsid w:val="00AD0E0D"/>
    <w:rsid w:val="00AD17C0"/>
    <w:rsid w:val="00AD1EEE"/>
    <w:rsid w:val="00AD2203"/>
    <w:rsid w:val="00AD257A"/>
    <w:rsid w:val="00AD4D34"/>
    <w:rsid w:val="00AD5418"/>
    <w:rsid w:val="00AD5A91"/>
    <w:rsid w:val="00AD703B"/>
    <w:rsid w:val="00AD73A1"/>
    <w:rsid w:val="00AD7B55"/>
    <w:rsid w:val="00AE0F3C"/>
    <w:rsid w:val="00AE2746"/>
    <w:rsid w:val="00AE2C90"/>
    <w:rsid w:val="00AE48A1"/>
    <w:rsid w:val="00AE4A67"/>
    <w:rsid w:val="00AE4ECA"/>
    <w:rsid w:val="00AE52E5"/>
    <w:rsid w:val="00AF071A"/>
    <w:rsid w:val="00AF0C6F"/>
    <w:rsid w:val="00AF1AB2"/>
    <w:rsid w:val="00AF2E75"/>
    <w:rsid w:val="00AF4CEC"/>
    <w:rsid w:val="00AF5E49"/>
    <w:rsid w:val="00AF743E"/>
    <w:rsid w:val="00B00599"/>
    <w:rsid w:val="00B006A7"/>
    <w:rsid w:val="00B00759"/>
    <w:rsid w:val="00B007DB"/>
    <w:rsid w:val="00B029E5"/>
    <w:rsid w:val="00B03CEC"/>
    <w:rsid w:val="00B03F32"/>
    <w:rsid w:val="00B07AD1"/>
    <w:rsid w:val="00B105F7"/>
    <w:rsid w:val="00B106EA"/>
    <w:rsid w:val="00B10C5D"/>
    <w:rsid w:val="00B1183C"/>
    <w:rsid w:val="00B11D2E"/>
    <w:rsid w:val="00B134A5"/>
    <w:rsid w:val="00B154C2"/>
    <w:rsid w:val="00B1560F"/>
    <w:rsid w:val="00B15E3A"/>
    <w:rsid w:val="00B15F47"/>
    <w:rsid w:val="00B167AB"/>
    <w:rsid w:val="00B16E3D"/>
    <w:rsid w:val="00B17395"/>
    <w:rsid w:val="00B17A74"/>
    <w:rsid w:val="00B203C4"/>
    <w:rsid w:val="00B21A03"/>
    <w:rsid w:val="00B21ED4"/>
    <w:rsid w:val="00B224F5"/>
    <w:rsid w:val="00B229D4"/>
    <w:rsid w:val="00B23723"/>
    <w:rsid w:val="00B23947"/>
    <w:rsid w:val="00B242DF"/>
    <w:rsid w:val="00B26576"/>
    <w:rsid w:val="00B269C0"/>
    <w:rsid w:val="00B271EF"/>
    <w:rsid w:val="00B27AAF"/>
    <w:rsid w:val="00B30456"/>
    <w:rsid w:val="00B312E4"/>
    <w:rsid w:val="00B31F99"/>
    <w:rsid w:val="00B32E39"/>
    <w:rsid w:val="00B3503C"/>
    <w:rsid w:val="00B3530A"/>
    <w:rsid w:val="00B3561D"/>
    <w:rsid w:val="00B3645D"/>
    <w:rsid w:val="00B36AEC"/>
    <w:rsid w:val="00B3774A"/>
    <w:rsid w:val="00B40930"/>
    <w:rsid w:val="00B4155A"/>
    <w:rsid w:val="00B41786"/>
    <w:rsid w:val="00B42F87"/>
    <w:rsid w:val="00B450CF"/>
    <w:rsid w:val="00B460AF"/>
    <w:rsid w:val="00B46942"/>
    <w:rsid w:val="00B47B0C"/>
    <w:rsid w:val="00B5269C"/>
    <w:rsid w:val="00B52983"/>
    <w:rsid w:val="00B53870"/>
    <w:rsid w:val="00B5412C"/>
    <w:rsid w:val="00B54149"/>
    <w:rsid w:val="00B60035"/>
    <w:rsid w:val="00B617D8"/>
    <w:rsid w:val="00B625A4"/>
    <w:rsid w:val="00B63D3D"/>
    <w:rsid w:val="00B63FC6"/>
    <w:rsid w:val="00B64736"/>
    <w:rsid w:val="00B65008"/>
    <w:rsid w:val="00B65AF6"/>
    <w:rsid w:val="00B65C20"/>
    <w:rsid w:val="00B67DCD"/>
    <w:rsid w:val="00B70AD7"/>
    <w:rsid w:val="00B71972"/>
    <w:rsid w:val="00B71EF3"/>
    <w:rsid w:val="00B71F0E"/>
    <w:rsid w:val="00B724D9"/>
    <w:rsid w:val="00B72599"/>
    <w:rsid w:val="00B72722"/>
    <w:rsid w:val="00B7341E"/>
    <w:rsid w:val="00B73E77"/>
    <w:rsid w:val="00B740D3"/>
    <w:rsid w:val="00B80335"/>
    <w:rsid w:val="00B80D9D"/>
    <w:rsid w:val="00B812C6"/>
    <w:rsid w:val="00B823D5"/>
    <w:rsid w:val="00B84C94"/>
    <w:rsid w:val="00B84DA4"/>
    <w:rsid w:val="00B85B16"/>
    <w:rsid w:val="00B85B9F"/>
    <w:rsid w:val="00B86352"/>
    <w:rsid w:val="00B863BC"/>
    <w:rsid w:val="00B869BF"/>
    <w:rsid w:val="00B87683"/>
    <w:rsid w:val="00B877EF"/>
    <w:rsid w:val="00B87A17"/>
    <w:rsid w:val="00B87F7F"/>
    <w:rsid w:val="00B90309"/>
    <w:rsid w:val="00B91206"/>
    <w:rsid w:val="00B93087"/>
    <w:rsid w:val="00B93A2D"/>
    <w:rsid w:val="00B93BE5"/>
    <w:rsid w:val="00B93F7B"/>
    <w:rsid w:val="00B94685"/>
    <w:rsid w:val="00B9469A"/>
    <w:rsid w:val="00B948C5"/>
    <w:rsid w:val="00B95250"/>
    <w:rsid w:val="00B9615F"/>
    <w:rsid w:val="00B962B4"/>
    <w:rsid w:val="00B9653F"/>
    <w:rsid w:val="00BA05DC"/>
    <w:rsid w:val="00BA1AEB"/>
    <w:rsid w:val="00BA479C"/>
    <w:rsid w:val="00BA4C87"/>
    <w:rsid w:val="00BA5DA5"/>
    <w:rsid w:val="00BA6599"/>
    <w:rsid w:val="00BA6746"/>
    <w:rsid w:val="00BA6842"/>
    <w:rsid w:val="00BA7840"/>
    <w:rsid w:val="00BB0915"/>
    <w:rsid w:val="00BB0A90"/>
    <w:rsid w:val="00BB1A31"/>
    <w:rsid w:val="00BB2F01"/>
    <w:rsid w:val="00BB37CB"/>
    <w:rsid w:val="00BB6061"/>
    <w:rsid w:val="00BB63E1"/>
    <w:rsid w:val="00BB6451"/>
    <w:rsid w:val="00BB648B"/>
    <w:rsid w:val="00BC0C7D"/>
    <w:rsid w:val="00BC370A"/>
    <w:rsid w:val="00BC4611"/>
    <w:rsid w:val="00BC4EB7"/>
    <w:rsid w:val="00BC570C"/>
    <w:rsid w:val="00BC5A20"/>
    <w:rsid w:val="00BC66B7"/>
    <w:rsid w:val="00BC7337"/>
    <w:rsid w:val="00BD139F"/>
    <w:rsid w:val="00BD17B7"/>
    <w:rsid w:val="00BD4EE7"/>
    <w:rsid w:val="00BD5349"/>
    <w:rsid w:val="00BD5B65"/>
    <w:rsid w:val="00BD638C"/>
    <w:rsid w:val="00BD72D9"/>
    <w:rsid w:val="00BE08B4"/>
    <w:rsid w:val="00BE0BFF"/>
    <w:rsid w:val="00BE2624"/>
    <w:rsid w:val="00BE4A1C"/>
    <w:rsid w:val="00BE5A7B"/>
    <w:rsid w:val="00BE5BFB"/>
    <w:rsid w:val="00BE65D1"/>
    <w:rsid w:val="00BF0F2A"/>
    <w:rsid w:val="00BF1569"/>
    <w:rsid w:val="00BF1834"/>
    <w:rsid w:val="00BF27CC"/>
    <w:rsid w:val="00BF2888"/>
    <w:rsid w:val="00BF30E0"/>
    <w:rsid w:val="00BF3C98"/>
    <w:rsid w:val="00BF491F"/>
    <w:rsid w:val="00BF4FCE"/>
    <w:rsid w:val="00BF5983"/>
    <w:rsid w:val="00BF5CC2"/>
    <w:rsid w:val="00BF5D19"/>
    <w:rsid w:val="00C01628"/>
    <w:rsid w:val="00C02BEF"/>
    <w:rsid w:val="00C0482E"/>
    <w:rsid w:val="00C0737D"/>
    <w:rsid w:val="00C07FDD"/>
    <w:rsid w:val="00C10091"/>
    <w:rsid w:val="00C125D3"/>
    <w:rsid w:val="00C13356"/>
    <w:rsid w:val="00C135FE"/>
    <w:rsid w:val="00C13A33"/>
    <w:rsid w:val="00C1434F"/>
    <w:rsid w:val="00C17769"/>
    <w:rsid w:val="00C20136"/>
    <w:rsid w:val="00C204E8"/>
    <w:rsid w:val="00C23068"/>
    <w:rsid w:val="00C2348D"/>
    <w:rsid w:val="00C242CB"/>
    <w:rsid w:val="00C2455B"/>
    <w:rsid w:val="00C251E0"/>
    <w:rsid w:val="00C2547F"/>
    <w:rsid w:val="00C25CCF"/>
    <w:rsid w:val="00C26B04"/>
    <w:rsid w:val="00C27A02"/>
    <w:rsid w:val="00C30404"/>
    <w:rsid w:val="00C30471"/>
    <w:rsid w:val="00C3137F"/>
    <w:rsid w:val="00C31501"/>
    <w:rsid w:val="00C3414E"/>
    <w:rsid w:val="00C37C5E"/>
    <w:rsid w:val="00C40929"/>
    <w:rsid w:val="00C40D33"/>
    <w:rsid w:val="00C4169F"/>
    <w:rsid w:val="00C424B8"/>
    <w:rsid w:val="00C42BA1"/>
    <w:rsid w:val="00C44931"/>
    <w:rsid w:val="00C45C1E"/>
    <w:rsid w:val="00C46A4C"/>
    <w:rsid w:val="00C4733D"/>
    <w:rsid w:val="00C47930"/>
    <w:rsid w:val="00C4798A"/>
    <w:rsid w:val="00C47CB0"/>
    <w:rsid w:val="00C500BB"/>
    <w:rsid w:val="00C5056D"/>
    <w:rsid w:val="00C5263E"/>
    <w:rsid w:val="00C54781"/>
    <w:rsid w:val="00C5492C"/>
    <w:rsid w:val="00C569B1"/>
    <w:rsid w:val="00C57EBD"/>
    <w:rsid w:val="00C60348"/>
    <w:rsid w:val="00C6087E"/>
    <w:rsid w:val="00C60963"/>
    <w:rsid w:val="00C60D23"/>
    <w:rsid w:val="00C62282"/>
    <w:rsid w:val="00C63D0D"/>
    <w:rsid w:val="00C646F3"/>
    <w:rsid w:val="00C662A8"/>
    <w:rsid w:val="00C66605"/>
    <w:rsid w:val="00C67A04"/>
    <w:rsid w:val="00C71629"/>
    <w:rsid w:val="00C718C9"/>
    <w:rsid w:val="00C71C46"/>
    <w:rsid w:val="00C71EC2"/>
    <w:rsid w:val="00C773B6"/>
    <w:rsid w:val="00C77910"/>
    <w:rsid w:val="00C7798A"/>
    <w:rsid w:val="00C77CDD"/>
    <w:rsid w:val="00C801AA"/>
    <w:rsid w:val="00C80E62"/>
    <w:rsid w:val="00C81C68"/>
    <w:rsid w:val="00C81E99"/>
    <w:rsid w:val="00C82476"/>
    <w:rsid w:val="00C83513"/>
    <w:rsid w:val="00C847DE"/>
    <w:rsid w:val="00C85439"/>
    <w:rsid w:val="00C85E36"/>
    <w:rsid w:val="00C87460"/>
    <w:rsid w:val="00C91A4D"/>
    <w:rsid w:val="00C92070"/>
    <w:rsid w:val="00C946AC"/>
    <w:rsid w:val="00C94CDF"/>
    <w:rsid w:val="00C94FED"/>
    <w:rsid w:val="00CA013C"/>
    <w:rsid w:val="00CA0CFD"/>
    <w:rsid w:val="00CA1F5D"/>
    <w:rsid w:val="00CA393F"/>
    <w:rsid w:val="00CA5361"/>
    <w:rsid w:val="00CA53DB"/>
    <w:rsid w:val="00CA5FB2"/>
    <w:rsid w:val="00CA646C"/>
    <w:rsid w:val="00CA78ED"/>
    <w:rsid w:val="00CA7A8F"/>
    <w:rsid w:val="00CB4A9A"/>
    <w:rsid w:val="00CB67E2"/>
    <w:rsid w:val="00CB7F4B"/>
    <w:rsid w:val="00CC1BCC"/>
    <w:rsid w:val="00CC1D4A"/>
    <w:rsid w:val="00CC2E70"/>
    <w:rsid w:val="00CC4869"/>
    <w:rsid w:val="00CC49FA"/>
    <w:rsid w:val="00CC4E1D"/>
    <w:rsid w:val="00CC506F"/>
    <w:rsid w:val="00CC5BD9"/>
    <w:rsid w:val="00CC7501"/>
    <w:rsid w:val="00CD1A47"/>
    <w:rsid w:val="00CD22D4"/>
    <w:rsid w:val="00CD2339"/>
    <w:rsid w:val="00CD27CB"/>
    <w:rsid w:val="00CD2A9C"/>
    <w:rsid w:val="00CD41D7"/>
    <w:rsid w:val="00CD48B5"/>
    <w:rsid w:val="00CD51BF"/>
    <w:rsid w:val="00CD5D5E"/>
    <w:rsid w:val="00CD61C4"/>
    <w:rsid w:val="00CD7B85"/>
    <w:rsid w:val="00CE1285"/>
    <w:rsid w:val="00CE1A7B"/>
    <w:rsid w:val="00CE1F4E"/>
    <w:rsid w:val="00CE2A6C"/>
    <w:rsid w:val="00CE4AC4"/>
    <w:rsid w:val="00CE50B0"/>
    <w:rsid w:val="00CE5646"/>
    <w:rsid w:val="00CE64C7"/>
    <w:rsid w:val="00CE6DB3"/>
    <w:rsid w:val="00CF03D5"/>
    <w:rsid w:val="00CF1138"/>
    <w:rsid w:val="00CF2259"/>
    <w:rsid w:val="00CF2B7D"/>
    <w:rsid w:val="00CF2F9D"/>
    <w:rsid w:val="00CF3179"/>
    <w:rsid w:val="00CF3690"/>
    <w:rsid w:val="00CF3ED9"/>
    <w:rsid w:val="00CF43D3"/>
    <w:rsid w:val="00CF5394"/>
    <w:rsid w:val="00CF6A64"/>
    <w:rsid w:val="00CF7761"/>
    <w:rsid w:val="00D005CD"/>
    <w:rsid w:val="00D00866"/>
    <w:rsid w:val="00D00893"/>
    <w:rsid w:val="00D00B84"/>
    <w:rsid w:val="00D00E5C"/>
    <w:rsid w:val="00D0102A"/>
    <w:rsid w:val="00D011F0"/>
    <w:rsid w:val="00D01811"/>
    <w:rsid w:val="00D02A25"/>
    <w:rsid w:val="00D04568"/>
    <w:rsid w:val="00D04C11"/>
    <w:rsid w:val="00D06857"/>
    <w:rsid w:val="00D06CFC"/>
    <w:rsid w:val="00D078D8"/>
    <w:rsid w:val="00D100A2"/>
    <w:rsid w:val="00D110E2"/>
    <w:rsid w:val="00D1430B"/>
    <w:rsid w:val="00D1472F"/>
    <w:rsid w:val="00D17834"/>
    <w:rsid w:val="00D17AE1"/>
    <w:rsid w:val="00D17FB1"/>
    <w:rsid w:val="00D204A3"/>
    <w:rsid w:val="00D20637"/>
    <w:rsid w:val="00D20976"/>
    <w:rsid w:val="00D20B91"/>
    <w:rsid w:val="00D21445"/>
    <w:rsid w:val="00D23A06"/>
    <w:rsid w:val="00D24531"/>
    <w:rsid w:val="00D2459C"/>
    <w:rsid w:val="00D24AE6"/>
    <w:rsid w:val="00D24C63"/>
    <w:rsid w:val="00D273E6"/>
    <w:rsid w:val="00D30253"/>
    <w:rsid w:val="00D317E9"/>
    <w:rsid w:val="00D31A12"/>
    <w:rsid w:val="00D31AC2"/>
    <w:rsid w:val="00D322A8"/>
    <w:rsid w:val="00D323E4"/>
    <w:rsid w:val="00D346CC"/>
    <w:rsid w:val="00D3547A"/>
    <w:rsid w:val="00D36B61"/>
    <w:rsid w:val="00D40D90"/>
    <w:rsid w:val="00D41562"/>
    <w:rsid w:val="00D4163D"/>
    <w:rsid w:val="00D41D04"/>
    <w:rsid w:val="00D43C05"/>
    <w:rsid w:val="00D45FDF"/>
    <w:rsid w:val="00D47417"/>
    <w:rsid w:val="00D47DDC"/>
    <w:rsid w:val="00D509D9"/>
    <w:rsid w:val="00D5151F"/>
    <w:rsid w:val="00D51D4D"/>
    <w:rsid w:val="00D526DD"/>
    <w:rsid w:val="00D53999"/>
    <w:rsid w:val="00D540F2"/>
    <w:rsid w:val="00D54160"/>
    <w:rsid w:val="00D5442E"/>
    <w:rsid w:val="00D5558D"/>
    <w:rsid w:val="00D55884"/>
    <w:rsid w:val="00D606F6"/>
    <w:rsid w:val="00D6151A"/>
    <w:rsid w:val="00D6198E"/>
    <w:rsid w:val="00D62BD6"/>
    <w:rsid w:val="00D64C04"/>
    <w:rsid w:val="00D64FC1"/>
    <w:rsid w:val="00D656E2"/>
    <w:rsid w:val="00D656EC"/>
    <w:rsid w:val="00D65975"/>
    <w:rsid w:val="00D67427"/>
    <w:rsid w:val="00D67A95"/>
    <w:rsid w:val="00D67B5E"/>
    <w:rsid w:val="00D71924"/>
    <w:rsid w:val="00D72116"/>
    <w:rsid w:val="00D72485"/>
    <w:rsid w:val="00D72CAC"/>
    <w:rsid w:val="00D73250"/>
    <w:rsid w:val="00D7392E"/>
    <w:rsid w:val="00D74BDC"/>
    <w:rsid w:val="00D75DCB"/>
    <w:rsid w:val="00D767C7"/>
    <w:rsid w:val="00D804D5"/>
    <w:rsid w:val="00D80D9F"/>
    <w:rsid w:val="00D815DE"/>
    <w:rsid w:val="00D81A70"/>
    <w:rsid w:val="00D827BF"/>
    <w:rsid w:val="00D8349C"/>
    <w:rsid w:val="00D8422F"/>
    <w:rsid w:val="00D85D26"/>
    <w:rsid w:val="00D86E3B"/>
    <w:rsid w:val="00D87F94"/>
    <w:rsid w:val="00D87FC3"/>
    <w:rsid w:val="00D900C9"/>
    <w:rsid w:val="00D9043F"/>
    <w:rsid w:val="00D9056D"/>
    <w:rsid w:val="00D91B84"/>
    <w:rsid w:val="00D92363"/>
    <w:rsid w:val="00D925C9"/>
    <w:rsid w:val="00D92778"/>
    <w:rsid w:val="00D93331"/>
    <w:rsid w:val="00D9336F"/>
    <w:rsid w:val="00D93713"/>
    <w:rsid w:val="00D93BC6"/>
    <w:rsid w:val="00D940EC"/>
    <w:rsid w:val="00D94684"/>
    <w:rsid w:val="00D96452"/>
    <w:rsid w:val="00D9658F"/>
    <w:rsid w:val="00D97C28"/>
    <w:rsid w:val="00DA388B"/>
    <w:rsid w:val="00DA3E21"/>
    <w:rsid w:val="00DA56F9"/>
    <w:rsid w:val="00DA5E0F"/>
    <w:rsid w:val="00DA75BF"/>
    <w:rsid w:val="00DA782C"/>
    <w:rsid w:val="00DB095F"/>
    <w:rsid w:val="00DB2DA2"/>
    <w:rsid w:val="00DB4B25"/>
    <w:rsid w:val="00DB5A05"/>
    <w:rsid w:val="00DC172E"/>
    <w:rsid w:val="00DC4A8D"/>
    <w:rsid w:val="00DC7BC6"/>
    <w:rsid w:val="00DD029B"/>
    <w:rsid w:val="00DD0E16"/>
    <w:rsid w:val="00DD1206"/>
    <w:rsid w:val="00DD1D27"/>
    <w:rsid w:val="00DD1E08"/>
    <w:rsid w:val="00DD23CC"/>
    <w:rsid w:val="00DD2B5F"/>
    <w:rsid w:val="00DD3E55"/>
    <w:rsid w:val="00DD40E2"/>
    <w:rsid w:val="00DD429E"/>
    <w:rsid w:val="00DD450C"/>
    <w:rsid w:val="00DD4B46"/>
    <w:rsid w:val="00DD5C4E"/>
    <w:rsid w:val="00DD61BD"/>
    <w:rsid w:val="00DD61E5"/>
    <w:rsid w:val="00DE13F7"/>
    <w:rsid w:val="00DE1645"/>
    <w:rsid w:val="00DE2180"/>
    <w:rsid w:val="00DE4119"/>
    <w:rsid w:val="00DE57CA"/>
    <w:rsid w:val="00DE72A9"/>
    <w:rsid w:val="00DE77A6"/>
    <w:rsid w:val="00DE7CE3"/>
    <w:rsid w:val="00DF1D9A"/>
    <w:rsid w:val="00DF2C62"/>
    <w:rsid w:val="00DF4015"/>
    <w:rsid w:val="00DF52EE"/>
    <w:rsid w:val="00DF541A"/>
    <w:rsid w:val="00DF630B"/>
    <w:rsid w:val="00E0015F"/>
    <w:rsid w:val="00E0089A"/>
    <w:rsid w:val="00E01C63"/>
    <w:rsid w:val="00E0365E"/>
    <w:rsid w:val="00E03A32"/>
    <w:rsid w:val="00E03E24"/>
    <w:rsid w:val="00E05572"/>
    <w:rsid w:val="00E06A6C"/>
    <w:rsid w:val="00E06B2A"/>
    <w:rsid w:val="00E120FE"/>
    <w:rsid w:val="00E1534C"/>
    <w:rsid w:val="00E17460"/>
    <w:rsid w:val="00E17797"/>
    <w:rsid w:val="00E17897"/>
    <w:rsid w:val="00E20AC6"/>
    <w:rsid w:val="00E249E3"/>
    <w:rsid w:val="00E271BE"/>
    <w:rsid w:val="00E272D0"/>
    <w:rsid w:val="00E307D6"/>
    <w:rsid w:val="00E30BEF"/>
    <w:rsid w:val="00E31831"/>
    <w:rsid w:val="00E31BBF"/>
    <w:rsid w:val="00E3298F"/>
    <w:rsid w:val="00E32BD5"/>
    <w:rsid w:val="00E32F20"/>
    <w:rsid w:val="00E32F32"/>
    <w:rsid w:val="00E33E51"/>
    <w:rsid w:val="00E33FC8"/>
    <w:rsid w:val="00E34062"/>
    <w:rsid w:val="00E35073"/>
    <w:rsid w:val="00E35095"/>
    <w:rsid w:val="00E37D9D"/>
    <w:rsid w:val="00E401BA"/>
    <w:rsid w:val="00E40317"/>
    <w:rsid w:val="00E40EFF"/>
    <w:rsid w:val="00E46136"/>
    <w:rsid w:val="00E4700F"/>
    <w:rsid w:val="00E5326C"/>
    <w:rsid w:val="00E53359"/>
    <w:rsid w:val="00E53AA3"/>
    <w:rsid w:val="00E54BD7"/>
    <w:rsid w:val="00E54D49"/>
    <w:rsid w:val="00E54E69"/>
    <w:rsid w:val="00E57F2D"/>
    <w:rsid w:val="00E57F94"/>
    <w:rsid w:val="00E60131"/>
    <w:rsid w:val="00E613D5"/>
    <w:rsid w:val="00E615A0"/>
    <w:rsid w:val="00E61CBE"/>
    <w:rsid w:val="00E62504"/>
    <w:rsid w:val="00E62CF3"/>
    <w:rsid w:val="00E63293"/>
    <w:rsid w:val="00E63591"/>
    <w:rsid w:val="00E635E1"/>
    <w:rsid w:val="00E65362"/>
    <w:rsid w:val="00E70F85"/>
    <w:rsid w:val="00E72018"/>
    <w:rsid w:val="00E726CC"/>
    <w:rsid w:val="00E74638"/>
    <w:rsid w:val="00E75E6D"/>
    <w:rsid w:val="00E76AA3"/>
    <w:rsid w:val="00E77036"/>
    <w:rsid w:val="00E81D05"/>
    <w:rsid w:val="00E8206A"/>
    <w:rsid w:val="00E82693"/>
    <w:rsid w:val="00E82E5F"/>
    <w:rsid w:val="00E84041"/>
    <w:rsid w:val="00E84564"/>
    <w:rsid w:val="00E85BDE"/>
    <w:rsid w:val="00E864CC"/>
    <w:rsid w:val="00E86B44"/>
    <w:rsid w:val="00E86EDC"/>
    <w:rsid w:val="00E9044D"/>
    <w:rsid w:val="00E9074D"/>
    <w:rsid w:val="00E92315"/>
    <w:rsid w:val="00E926B9"/>
    <w:rsid w:val="00E92D08"/>
    <w:rsid w:val="00E97002"/>
    <w:rsid w:val="00EA18A5"/>
    <w:rsid w:val="00EA2066"/>
    <w:rsid w:val="00EA4A35"/>
    <w:rsid w:val="00EA6BC9"/>
    <w:rsid w:val="00EA6E20"/>
    <w:rsid w:val="00EA7ED5"/>
    <w:rsid w:val="00EB094B"/>
    <w:rsid w:val="00EB095E"/>
    <w:rsid w:val="00EB0F90"/>
    <w:rsid w:val="00EB2CDB"/>
    <w:rsid w:val="00EB2F1F"/>
    <w:rsid w:val="00EB3020"/>
    <w:rsid w:val="00EB4D6D"/>
    <w:rsid w:val="00EB58D2"/>
    <w:rsid w:val="00EB5C48"/>
    <w:rsid w:val="00EB74BA"/>
    <w:rsid w:val="00EC017C"/>
    <w:rsid w:val="00EC0F8C"/>
    <w:rsid w:val="00EC1843"/>
    <w:rsid w:val="00EC289B"/>
    <w:rsid w:val="00EC52FE"/>
    <w:rsid w:val="00EC5687"/>
    <w:rsid w:val="00EC5923"/>
    <w:rsid w:val="00EC5A04"/>
    <w:rsid w:val="00EC6AF4"/>
    <w:rsid w:val="00ED0ABF"/>
    <w:rsid w:val="00ED175C"/>
    <w:rsid w:val="00ED1816"/>
    <w:rsid w:val="00ED23E5"/>
    <w:rsid w:val="00ED305C"/>
    <w:rsid w:val="00ED30B1"/>
    <w:rsid w:val="00ED4FC1"/>
    <w:rsid w:val="00ED5344"/>
    <w:rsid w:val="00ED541E"/>
    <w:rsid w:val="00ED5C70"/>
    <w:rsid w:val="00ED6040"/>
    <w:rsid w:val="00ED6044"/>
    <w:rsid w:val="00ED76C3"/>
    <w:rsid w:val="00ED7924"/>
    <w:rsid w:val="00ED7DC0"/>
    <w:rsid w:val="00EE0217"/>
    <w:rsid w:val="00EE0FF5"/>
    <w:rsid w:val="00EE149D"/>
    <w:rsid w:val="00EE1ACA"/>
    <w:rsid w:val="00EE2425"/>
    <w:rsid w:val="00EE2B63"/>
    <w:rsid w:val="00EE37E7"/>
    <w:rsid w:val="00EE3D46"/>
    <w:rsid w:val="00EE4EA6"/>
    <w:rsid w:val="00EF13CD"/>
    <w:rsid w:val="00EF1C3A"/>
    <w:rsid w:val="00EF3BC2"/>
    <w:rsid w:val="00EF4074"/>
    <w:rsid w:val="00EF414D"/>
    <w:rsid w:val="00EF42B9"/>
    <w:rsid w:val="00EF4CFE"/>
    <w:rsid w:val="00EF5367"/>
    <w:rsid w:val="00EF54B3"/>
    <w:rsid w:val="00EF5B2A"/>
    <w:rsid w:val="00EF5B61"/>
    <w:rsid w:val="00EF68B3"/>
    <w:rsid w:val="00F00E6A"/>
    <w:rsid w:val="00F00F8C"/>
    <w:rsid w:val="00F0145A"/>
    <w:rsid w:val="00F017B9"/>
    <w:rsid w:val="00F02974"/>
    <w:rsid w:val="00F03452"/>
    <w:rsid w:val="00F050D5"/>
    <w:rsid w:val="00F055AE"/>
    <w:rsid w:val="00F06F57"/>
    <w:rsid w:val="00F077E6"/>
    <w:rsid w:val="00F07A0A"/>
    <w:rsid w:val="00F10528"/>
    <w:rsid w:val="00F11AD0"/>
    <w:rsid w:val="00F12A18"/>
    <w:rsid w:val="00F12B3E"/>
    <w:rsid w:val="00F13A68"/>
    <w:rsid w:val="00F15430"/>
    <w:rsid w:val="00F165B5"/>
    <w:rsid w:val="00F17E40"/>
    <w:rsid w:val="00F219F5"/>
    <w:rsid w:val="00F21DAB"/>
    <w:rsid w:val="00F23288"/>
    <w:rsid w:val="00F2544A"/>
    <w:rsid w:val="00F260D5"/>
    <w:rsid w:val="00F268E0"/>
    <w:rsid w:val="00F278F4"/>
    <w:rsid w:val="00F3123A"/>
    <w:rsid w:val="00F32D4D"/>
    <w:rsid w:val="00F33D2F"/>
    <w:rsid w:val="00F34DCB"/>
    <w:rsid w:val="00F353E7"/>
    <w:rsid w:val="00F36DBD"/>
    <w:rsid w:val="00F36E0F"/>
    <w:rsid w:val="00F3728A"/>
    <w:rsid w:val="00F3736C"/>
    <w:rsid w:val="00F376DD"/>
    <w:rsid w:val="00F403F0"/>
    <w:rsid w:val="00F40B6D"/>
    <w:rsid w:val="00F41838"/>
    <w:rsid w:val="00F41BD7"/>
    <w:rsid w:val="00F41C3A"/>
    <w:rsid w:val="00F438D5"/>
    <w:rsid w:val="00F45A80"/>
    <w:rsid w:val="00F473B3"/>
    <w:rsid w:val="00F47FE7"/>
    <w:rsid w:val="00F505D8"/>
    <w:rsid w:val="00F51499"/>
    <w:rsid w:val="00F51A1A"/>
    <w:rsid w:val="00F528B8"/>
    <w:rsid w:val="00F53523"/>
    <w:rsid w:val="00F53AB6"/>
    <w:rsid w:val="00F540F5"/>
    <w:rsid w:val="00F5649C"/>
    <w:rsid w:val="00F56BFE"/>
    <w:rsid w:val="00F5736D"/>
    <w:rsid w:val="00F57494"/>
    <w:rsid w:val="00F57D80"/>
    <w:rsid w:val="00F60606"/>
    <w:rsid w:val="00F607C4"/>
    <w:rsid w:val="00F60DD9"/>
    <w:rsid w:val="00F6136E"/>
    <w:rsid w:val="00F62619"/>
    <w:rsid w:val="00F63ADC"/>
    <w:rsid w:val="00F63FF8"/>
    <w:rsid w:val="00F64225"/>
    <w:rsid w:val="00F64C3C"/>
    <w:rsid w:val="00F64E88"/>
    <w:rsid w:val="00F66D9E"/>
    <w:rsid w:val="00F67352"/>
    <w:rsid w:val="00F67E17"/>
    <w:rsid w:val="00F70217"/>
    <w:rsid w:val="00F70521"/>
    <w:rsid w:val="00F706EE"/>
    <w:rsid w:val="00F71613"/>
    <w:rsid w:val="00F745CF"/>
    <w:rsid w:val="00F74DDC"/>
    <w:rsid w:val="00F75265"/>
    <w:rsid w:val="00F770E0"/>
    <w:rsid w:val="00F80424"/>
    <w:rsid w:val="00F80A4E"/>
    <w:rsid w:val="00F81D58"/>
    <w:rsid w:val="00F83645"/>
    <w:rsid w:val="00F84F8F"/>
    <w:rsid w:val="00F85629"/>
    <w:rsid w:val="00F86060"/>
    <w:rsid w:val="00F862D1"/>
    <w:rsid w:val="00F86C2B"/>
    <w:rsid w:val="00F876C8"/>
    <w:rsid w:val="00F8788F"/>
    <w:rsid w:val="00F91A0D"/>
    <w:rsid w:val="00F9231D"/>
    <w:rsid w:val="00F93DCF"/>
    <w:rsid w:val="00F93E19"/>
    <w:rsid w:val="00F94295"/>
    <w:rsid w:val="00F962AF"/>
    <w:rsid w:val="00F96AF5"/>
    <w:rsid w:val="00F96BE4"/>
    <w:rsid w:val="00FA05CF"/>
    <w:rsid w:val="00FA06AD"/>
    <w:rsid w:val="00FA1F26"/>
    <w:rsid w:val="00FA527F"/>
    <w:rsid w:val="00FA7BB7"/>
    <w:rsid w:val="00FB2324"/>
    <w:rsid w:val="00FB309B"/>
    <w:rsid w:val="00FB3FE1"/>
    <w:rsid w:val="00FB430D"/>
    <w:rsid w:val="00FB44C1"/>
    <w:rsid w:val="00FB4DB1"/>
    <w:rsid w:val="00FB509A"/>
    <w:rsid w:val="00FB6104"/>
    <w:rsid w:val="00FC154D"/>
    <w:rsid w:val="00FC16CD"/>
    <w:rsid w:val="00FC35CE"/>
    <w:rsid w:val="00FC42AD"/>
    <w:rsid w:val="00FC4DBB"/>
    <w:rsid w:val="00FC6D7D"/>
    <w:rsid w:val="00FC6DDF"/>
    <w:rsid w:val="00FC72B2"/>
    <w:rsid w:val="00FC7647"/>
    <w:rsid w:val="00FD1AED"/>
    <w:rsid w:val="00FD226A"/>
    <w:rsid w:val="00FD22E1"/>
    <w:rsid w:val="00FD30C7"/>
    <w:rsid w:val="00FD35DF"/>
    <w:rsid w:val="00FD3B9E"/>
    <w:rsid w:val="00FD6989"/>
    <w:rsid w:val="00FD6C97"/>
    <w:rsid w:val="00FD7BB5"/>
    <w:rsid w:val="00FD7DD5"/>
    <w:rsid w:val="00FE02A5"/>
    <w:rsid w:val="00FE0513"/>
    <w:rsid w:val="00FE0620"/>
    <w:rsid w:val="00FE0752"/>
    <w:rsid w:val="00FE2695"/>
    <w:rsid w:val="00FE3E08"/>
    <w:rsid w:val="00FE5083"/>
    <w:rsid w:val="00FE58FD"/>
    <w:rsid w:val="00FE5B62"/>
    <w:rsid w:val="00FE5F66"/>
    <w:rsid w:val="00FE6AB2"/>
    <w:rsid w:val="00FE6F26"/>
    <w:rsid w:val="00FE7E14"/>
    <w:rsid w:val="00FF0038"/>
    <w:rsid w:val="00FF0546"/>
    <w:rsid w:val="00FF0560"/>
    <w:rsid w:val="00FF0C47"/>
    <w:rsid w:val="00FF1702"/>
    <w:rsid w:val="00FF1C31"/>
    <w:rsid w:val="00FF1F9F"/>
    <w:rsid w:val="00FF30FC"/>
    <w:rsid w:val="00FF32C7"/>
    <w:rsid w:val="00FF368C"/>
    <w:rsid w:val="00FF4AB9"/>
    <w:rsid w:val="00FF559D"/>
    <w:rsid w:val="00FF586D"/>
    <w:rsid w:val="00FF60F0"/>
    <w:rsid w:val="00FF69C8"/>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4:docId w14:val="2FC646FA"/>
  <w15:docId w15:val="{42E9121C-CC8F-4CDB-B79D-2357AB4D0C0B}"/>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105317322">
      <w:bodyDiv w:val="true"/>
      <w:marLeft w:val="0"/>
      <w:marRight w:val="0"/>
      <w:marTop w:val="0"/>
      <w:marBottom w:val="0"/>
      <w:divBdr>
        <w:top w:val="none" w:color="auto" w:sz="0" w:space="0"/>
        <w:left w:val="none" w:color="auto" w:sz="0" w:space="0"/>
        <w:bottom w:val="none" w:color="auto" w:sz="0" w:space="0"/>
        <w:right w:val="none" w:color="auto" w:sz="0" w:space="0"/>
      </w:divBdr>
    </w:div>
    <w:div w:id="352536800">
      <w:bodyDiv w:val="true"/>
      <w:marLeft w:val="0"/>
      <w:marRight w:val="0"/>
      <w:marTop w:val="0"/>
      <w:marBottom w:val="0"/>
      <w:divBdr>
        <w:top w:val="none" w:color="auto" w:sz="0" w:space="0"/>
        <w:left w:val="none" w:color="auto" w:sz="0" w:space="0"/>
        <w:bottom w:val="none" w:color="auto" w:sz="0" w:space="0"/>
        <w:right w:val="none" w:color="auto" w:sz="0" w:space="0"/>
      </w:divBdr>
    </w:div>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672997088">
      <w:bodyDiv w:val="true"/>
      <w:marLeft w:val="0"/>
      <w:marRight w:val="0"/>
      <w:marTop w:val="0"/>
      <w:marBottom w:val="0"/>
      <w:divBdr>
        <w:top w:val="none" w:color="auto" w:sz="0" w:space="0"/>
        <w:left w:val="none" w:color="auto" w:sz="0" w:space="0"/>
        <w:bottom w:val="none" w:color="auto" w:sz="0" w:space="0"/>
        <w:right w:val="none" w:color="auto" w:sz="0" w:space="0"/>
      </w:divBdr>
    </w:div>
    <w:div w:id="1820802886">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 w:id="1976984311">
      <w:bodyDiv w:val="true"/>
      <w:marLeft w:val="0"/>
      <w:marRight w:val="0"/>
      <w:marTop w:val="0"/>
      <w:marBottom w:val="0"/>
      <w:divBdr>
        <w:top w:val="none" w:color="auto" w:sz="0" w:space="0"/>
        <w:left w:val="none" w:color="auto" w:sz="0" w:space="0"/>
        <w:bottom w:val="none" w:color="auto" w:sz="0" w:space="0"/>
        <w:right w:val="none" w:color="auto" w:sz="0" w:space="0"/>
      </w:divBdr>
    </w:div>
    <w:div w:id="19938269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Mode="External" Target="http://www.gpo.gov/fdsys/pkg/USCODE-2010-title16/pdf/USCODE-2010-title16-chap55-sec3505.pdf" Type="http://schemas.openxmlformats.org/officeDocument/2006/relationships/hyperlink" Id="rId8"></Relationship><Relationship Target="header2.xml" Type="http://schemas.openxmlformats.org/officeDocument/2006/relationships/header" Id="rId13"></Relationship><Relationship Target="fontTable.xml" Type="http://schemas.openxmlformats.org/officeDocument/2006/relationships/fontTable" Id="rId18"></Relationship><Relationship Target="styles.xml" Type="http://schemas.openxmlformats.org/officeDocument/2006/relationships/styles" Id="rId3"></Relationship><Relationship Target="endnotes.xml" Type="http://schemas.openxmlformats.org/officeDocument/2006/relationships/endnotes" Id="rId7"></Relationship><Relationship Target="header1.xml" Type="http://schemas.openxmlformats.org/officeDocument/2006/relationships/header" Id="rId12"></Relationship><Relationship Target="footer3.xml" Type="http://schemas.openxmlformats.org/officeDocument/2006/relationships/footer" Id="rId17"></Relationship><Relationship Target="numbering.xml" Type="http://schemas.openxmlformats.org/officeDocument/2006/relationships/numbering" Id="rId2"></Relationship><Relationship Target="header3.xml" Type="http://schemas.openxmlformats.org/officeDocument/2006/relationships/header"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access.gpo.gov/nara/cfr/waisidx_10/36cfr800_10.html" Type="http://schemas.openxmlformats.org/officeDocument/2006/relationships/hyperlink" Id="rId11"></Relationship><Relationship Target="webSettings.xml" Type="http://schemas.openxmlformats.org/officeDocument/2006/relationships/webSettings" Id="rId5"></Relationship><Relationship Target="footer2.xml" Type="http://schemas.openxmlformats.org/officeDocument/2006/relationships/footer" Id="rId15"></Relationship><Relationship TargetMode="External" Target="http://www.access.gpo.gov/nara/cfr/waisidx_11/7cfr658_11.html" Type="http://schemas.openxmlformats.org/officeDocument/2006/relationships/hyperlink" Id="rId10"></Relationship><Relationship Target="theme/theme1.xml" Type="http://schemas.openxmlformats.org/officeDocument/2006/relationships/theme" Id="rId19"></Relationship><Relationship Target="settings.xml" Type="http://schemas.openxmlformats.org/officeDocument/2006/relationships/settings" Id="rId4"></Relationship><Relationship TargetMode="External" Target="http://www.msc.fema.gov" Type="http://schemas.openxmlformats.org/officeDocument/2006/relationships/hyperlink" Id="rId9"></Relationship><Relationship Target="footer1.xml" Type="http://schemas.openxmlformats.org/officeDocument/2006/relationships/footer" Id="rId14"></Relationship><Relationship TargetMode="External" Target="https://www.onecpd.info/reports/ESD_900000010086202_10252019_900000010380616_1570771823484.pdf" Type="http://schemas.openxmlformats.org/officeDocument/2006/relationships/hyperlink" Id="rId20"/><Relationship TargetMode="External" Target="https://www.onecpd.info/reports/ESD_900000010086202_10252019_900000010380619_1570771823484.pdf" Type="http://schemas.openxmlformats.org/officeDocument/2006/relationships/hyperlink" Id="rId21"/><Relationship TargetMode="External" Target="https://www.onecpd.info/reports/ESD_900000010086202_10252019_900000010485046_1570771823484.pdf" Type="http://schemas.openxmlformats.org/officeDocument/2006/relationships/hyperlink" Id="rId22"/><Relationship TargetMode="External" Target="https://www.onecpd.info/reports/ESD_900000010086202_10252019_900000010380622_1570771823484.pdf" Type="http://schemas.openxmlformats.org/officeDocument/2006/relationships/hyperlink" Id="rId23"/><Relationship TargetMode="External" Target="https://www.onecpd.info/reports/ESD_900000010086202_10252019_900000010380623_1570771823484.pdf" Type="http://schemas.openxmlformats.org/officeDocument/2006/relationships/hyperlink" Id="rId24"/><Relationship TargetMode="External" Target="https://www.onecpd.info/reports/ESD_900000010086202_10252019_900000010380633_1570771823484.pdf" Type="http://schemas.openxmlformats.org/officeDocument/2006/relationships/hyperlink" Id="rId25"/><Relationship TargetMode="External" Target="https://www.onecpd.info/reports/ESD_900000010086202_10252019_900000010380624_1570771823484.pdf" Type="http://schemas.openxmlformats.org/officeDocument/2006/relationships/hyperlink" Id="rId26"/><Relationship TargetMode="External" Target="https://www.onecpd.info/reports/ESD_900000010086202_10252019_900000010380625_1570771823484.pdf" Type="http://schemas.openxmlformats.org/officeDocument/2006/relationships/hyperlink" Id="rId27"/><Relationship TargetMode="External" Target="https://www.onecpd.info/reports/ESD_900000010086202_10252019_900000010380626_1570771823484.pdf" Type="http://schemas.openxmlformats.org/officeDocument/2006/relationships/hyperlink" Id="rId28"/><Relationship TargetMode="External" Target="https://www.onecpd.info/reports/ESD_900000010086202_10252019_900000010380628_1570771823484.pdf" Type="http://schemas.openxmlformats.org/officeDocument/2006/relationships/hyperlink" Id="rId29"/><Relationship TargetMode="External" Target="https://www.onecpd.info/reports/ESD_900000010086202_10252019_900000010380628_1570771823484.pdf" Type="http://schemas.openxmlformats.org/officeDocument/2006/relationships/hyperlink" Id="rId30"/><Relationship TargetMode="External" Target="https://www.onecpd.info/reports/ESD_900000010086202_10252019_900000010380629_1570771823484.pdf" Type="http://schemas.openxmlformats.org/officeDocument/2006/relationships/hyperlink" Id="rId31"/><Relationship TargetMode="External" Target="https://www.onecpd.info/reports/ESD_900000010086202_10252019_900000010380631_1570771823484.pdf" Type="http://schemas.openxmlformats.org/officeDocument/2006/relationships/hyperlink" Id="rId32"/><Relationship TargetMode="External" Target="https://www.onecpd.info/reports/ESD_900000010086202_10252019_900000010380632_1570771823484.pdf" Type="http://schemas.openxmlformats.org/officeDocument/2006/relationships/hyperlink" Id="rId33"/><Relationship TargetMode="External" Target="https://www.onecpd.info/reports/ESD_900000010086202_10252019_900000010380633_1570771823484.pdf" Type="http://schemas.openxmlformats.org/officeDocument/2006/relationships/hyperlink" Id="rId34"/><Relationship TargetMode="External" Target="https://www.onecpd.info/reports/ESD_900000010086202_10252019_900000010380634_1570771823484.pdf" Type="http://schemas.openxmlformats.org/officeDocument/2006/relationships/hyperlink" Id="rId35"/><Relationship TargetMode="External" Target="https://www.onecpd.info/reports/ESD_900000010086202_10252019_900000010380635_1570771823484.pdf" Type="http://schemas.openxmlformats.org/officeDocument/2006/relationships/hyperlink" Id="rId36"/><Relationship TargetMode="External" Target="https://www.onecpd.info/reports/ESD_900000010086202_10252019_900000010380636_1570771823484.pdf" Type="http://schemas.openxmlformats.org/officeDocument/2006/relationships/hyperlink" Id="rId37"/><Relationship TargetMode="External" Target="https://www.onecpd.info/reports/ESD_900000010086202_10252019_900000010380637_1570771823484.pdf" Type="http://schemas.openxmlformats.org/officeDocument/2006/relationships/hyperlink" Id="rId38"/><Relationship TargetMode="External" Target="https://www.onecpd.info/reports/ESD_900000010086202_10252019_900000010380638_1570771823484.pdf" Type="http://schemas.openxmlformats.org/officeDocument/2006/relationships/hyperlink" Id="rId39"/><Relationship TargetMode="External" Target="https://www.onecpd.info/reports/ESD_900000010086202_10252019_900000010380640_1570771823484.pdf" Type="http://schemas.openxmlformats.org/officeDocument/2006/relationships/hyperlink" Id="rId40"/><Relationship TargetMode="External" Target="https://www.onecpd.info/reports/ESD_900000010086202_10252019_900000010380641_1570771823484.pdf" Type="http://schemas.openxmlformats.org/officeDocument/2006/relationships/hyperlink" Id="rId41"/></Relationships>
</file>

<file path=word/_rels/header3.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A51320D-CF74-44C0-A0FB-AF89C458B70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100</properties:Pages>
  <properties:Words>20200</properties:Words>
  <properties:Characters>115144</properties:Characters>
  <properties:Lines>959</properties:Lines>
  <properties:Paragraphs>270</properties:Paragraphs>
  <properties:TotalTime>1215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135074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2013-08-20T18:56:00Z</dcterms:created>
  <dc:creator>Rocio Ggonzalez</dc:creator>
  <dc:description/>
  <cp:keywords/>
  <cp:lastModifiedBy>Leblond, Olivier</cp:lastModifiedBy>
  <dcterms:modified xmlns:xsi="http://www.w3.org/2001/XMLSchema-instance" xsi:type="dcterms:W3CDTF">2018-02-06T02:52:00Z</dcterms:modified>
  <cp:revision>342</cp:revision>
  <dc:subject/>
  <dc:title>&lt;TYPE=[section 4] REPORT_GUID=[B2A873E9444FB1CDF0F4CD88464F8B0C]&gt;</dc:title>
</cp:coreProperties>
</file>